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4B" w:rsidRPr="00C0114B" w:rsidRDefault="00C0114B" w:rsidP="00C0114B">
      <w:pPr>
        <w:jc w:val="center"/>
        <w:rPr>
          <w:rFonts w:ascii="Arial" w:hAnsi="Arial" w:cs="Arial"/>
          <w:b/>
          <w:color w:val="212529"/>
          <w:sz w:val="24"/>
          <w:szCs w:val="24"/>
          <w:lang w:val="es-MX" w:eastAsia="es-MX"/>
        </w:rPr>
      </w:pPr>
      <w:r w:rsidRPr="00C0114B">
        <w:rPr>
          <w:rFonts w:ascii="Arial" w:hAnsi="Arial" w:cs="Arial"/>
          <w:b/>
          <w:color w:val="212529"/>
          <w:sz w:val="24"/>
          <w:szCs w:val="24"/>
          <w:lang w:val="es-MX" w:eastAsia="es-MX"/>
        </w:rPr>
        <w:t>INFORMACIÓN PROACTIVA</w:t>
      </w:r>
    </w:p>
    <w:p w:rsidR="00C0114B" w:rsidRPr="00C0114B" w:rsidRDefault="00C0114B" w:rsidP="00C0114B">
      <w:pPr>
        <w:rPr>
          <w:rFonts w:ascii="Arial" w:hAnsi="Arial" w:cs="Arial"/>
          <w:color w:val="212529"/>
          <w:sz w:val="24"/>
          <w:szCs w:val="24"/>
          <w:lang w:val="es-MX" w:eastAsia="es-MX"/>
        </w:rPr>
      </w:pPr>
    </w:p>
    <w:p w:rsidR="00C0114B" w:rsidRPr="00C0114B" w:rsidRDefault="00C0114B" w:rsidP="00C0114B">
      <w:pPr>
        <w:rPr>
          <w:rFonts w:ascii="Arial" w:hAnsi="Arial" w:cs="Arial"/>
          <w:b/>
          <w:color w:val="212529"/>
          <w:sz w:val="24"/>
          <w:szCs w:val="24"/>
          <w:lang w:val="es-MX" w:eastAsia="es-MX"/>
        </w:rPr>
      </w:pPr>
      <w:r w:rsidRPr="00C0114B">
        <w:rPr>
          <w:rFonts w:ascii="Arial" w:hAnsi="Arial" w:cs="Arial"/>
          <w:b/>
          <w:color w:val="212529"/>
          <w:sz w:val="24"/>
          <w:szCs w:val="24"/>
          <w:lang w:val="es-MX" w:eastAsia="es-MX"/>
        </w:rPr>
        <w:t xml:space="preserve">¿Cuántos choferes tiene la institución? </w:t>
      </w:r>
    </w:p>
    <w:p w:rsidR="00C0114B" w:rsidRPr="00C0114B" w:rsidRDefault="00C0114B" w:rsidP="00C0114B">
      <w:pPr>
        <w:rPr>
          <w:rFonts w:ascii="Arial" w:hAnsi="Arial" w:cs="Arial"/>
          <w:color w:val="212529"/>
          <w:sz w:val="24"/>
          <w:szCs w:val="24"/>
          <w:lang w:val="es-MX" w:eastAsia="es-MX"/>
        </w:rPr>
      </w:pPr>
    </w:p>
    <w:p w:rsidR="00C0114B" w:rsidRPr="00C0114B" w:rsidRDefault="00C0114B" w:rsidP="00C0114B">
      <w:pPr>
        <w:rPr>
          <w:rFonts w:ascii="Arial" w:hAnsi="Arial" w:cs="Arial"/>
          <w:color w:val="212529"/>
          <w:sz w:val="24"/>
          <w:szCs w:val="24"/>
          <w:lang w:val="es-MX" w:eastAsia="es-MX"/>
        </w:rPr>
      </w:pPr>
      <w:r w:rsidRPr="00C0114B">
        <w:rPr>
          <w:rFonts w:ascii="Arial" w:hAnsi="Arial" w:cs="Arial"/>
          <w:color w:val="212529"/>
          <w:sz w:val="24"/>
          <w:szCs w:val="24"/>
          <w:lang w:val="es-MX" w:eastAsia="es-MX"/>
        </w:rPr>
        <w:t>Son 14 servidores públicos a la fecha de la presente respuesta.</w:t>
      </w:r>
    </w:p>
    <w:p w:rsidR="00C0114B" w:rsidRPr="00C0114B" w:rsidRDefault="00C0114B" w:rsidP="00C0114B">
      <w:pPr>
        <w:rPr>
          <w:rFonts w:ascii="Arial" w:hAnsi="Arial" w:cs="Arial"/>
          <w:color w:val="212529"/>
          <w:sz w:val="24"/>
          <w:szCs w:val="24"/>
          <w:lang w:val="es-MX" w:eastAsia="es-MX"/>
        </w:rPr>
      </w:pPr>
      <w:bookmarkStart w:id="0" w:name="_GoBack"/>
      <w:bookmarkEnd w:id="0"/>
    </w:p>
    <w:p w:rsidR="00C0114B" w:rsidRPr="00C0114B" w:rsidRDefault="00C0114B" w:rsidP="00C0114B">
      <w:pPr>
        <w:rPr>
          <w:rFonts w:ascii="Arial" w:hAnsi="Arial" w:cs="Arial"/>
          <w:b/>
          <w:color w:val="212529"/>
          <w:sz w:val="24"/>
          <w:szCs w:val="24"/>
          <w:lang w:val="es-MX" w:eastAsia="es-MX"/>
        </w:rPr>
      </w:pPr>
      <w:r w:rsidRPr="00C0114B">
        <w:rPr>
          <w:rFonts w:ascii="Arial" w:hAnsi="Arial" w:cs="Arial"/>
          <w:b/>
          <w:color w:val="212529"/>
          <w:sz w:val="24"/>
          <w:szCs w:val="24"/>
          <w:lang w:val="es-MX" w:eastAsia="es-MX"/>
        </w:rPr>
        <w:t xml:space="preserve">2. Nombres y nivel de sueldo de los choferes de la institución </w:t>
      </w:r>
    </w:p>
    <w:p w:rsidR="00C0114B" w:rsidRPr="00C0114B" w:rsidRDefault="00C0114B" w:rsidP="00C0114B">
      <w:pPr>
        <w:rPr>
          <w:rFonts w:ascii="Arial" w:hAnsi="Arial" w:cs="Arial"/>
          <w:color w:val="212529"/>
          <w:sz w:val="24"/>
          <w:szCs w:val="24"/>
          <w:lang w:val="es-MX" w:eastAsia="es-MX"/>
        </w:rPr>
      </w:pPr>
    </w:p>
    <w:tbl>
      <w:tblPr>
        <w:tblStyle w:val="Tablaconcuadrcula"/>
        <w:tblW w:w="8926" w:type="dxa"/>
        <w:tblLook w:val="04A0" w:firstRow="1" w:lastRow="0" w:firstColumn="1" w:lastColumn="0" w:noHBand="0" w:noVBand="1"/>
      </w:tblPr>
      <w:tblGrid>
        <w:gridCol w:w="4786"/>
        <w:gridCol w:w="4140"/>
      </w:tblGrid>
      <w:tr w:rsidR="00C0114B" w:rsidRPr="00C0114B" w:rsidTr="00C0114B">
        <w:trPr>
          <w:trHeight w:val="128"/>
        </w:trPr>
        <w:tc>
          <w:tcPr>
            <w:tcW w:w="4786" w:type="dxa"/>
            <w:hideMark/>
          </w:tcPr>
          <w:p w:rsidR="00C0114B" w:rsidRPr="00C0114B" w:rsidRDefault="00C0114B" w:rsidP="00C0114B">
            <w:pPr>
              <w:spacing w:after="100" w:afterAutospacing="1"/>
              <w:ind w:left="1080" w:hanging="909"/>
              <w:contextualSpacing/>
              <w:rPr>
                <w:rFonts w:ascii="Calibri" w:hAnsi="Calibri" w:cs="Calibri"/>
                <w:bCs/>
                <w:color w:val="212529"/>
                <w:sz w:val="24"/>
                <w:szCs w:val="24"/>
                <w:lang w:val="es-MX" w:eastAsia="es-MX"/>
              </w:rPr>
            </w:pPr>
            <w:r w:rsidRPr="00C0114B">
              <w:rPr>
                <w:rFonts w:ascii="Calibri" w:hAnsi="Calibri" w:cs="Calibri"/>
                <w:bCs/>
                <w:color w:val="212529"/>
                <w:sz w:val="24"/>
                <w:szCs w:val="24"/>
                <w:lang w:val="es-MX" w:eastAsia="es-MX"/>
              </w:rPr>
              <w:t>NOMBRE</w:t>
            </w:r>
          </w:p>
        </w:tc>
        <w:tc>
          <w:tcPr>
            <w:tcW w:w="4140" w:type="dxa"/>
            <w:hideMark/>
          </w:tcPr>
          <w:p w:rsidR="00C0114B" w:rsidRPr="00C0114B" w:rsidRDefault="004F29B3" w:rsidP="004F29B3">
            <w:pPr>
              <w:spacing w:after="100" w:afterAutospacing="1"/>
              <w:ind w:right="317"/>
              <w:contextualSpacing/>
              <w:rPr>
                <w:rFonts w:ascii="Calibri" w:hAnsi="Calibri" w:cs="Calibri"/>
                <w:bCs/>
                <w:color w:val="212529"/>
                <w:sz w:val="24"/>
                <w:szCs w:val="24"/>
                <w:lang w:val="es-MX" w:eastAsia="es-MX"/>
              </w:rPr>
            </w:pPr>
            <w:r>
              <w:rPr>
                <w:rFonts w:ascii="Calibri" w:hAnsi="Calibri" w:cs="Calibri"/>
                <w:bCs/>
                <w:color w:val="212529"/>
                <w:sz w:val="24"/>
                <w:szCs w:val="24"/>
                <w:lang w:val="es-MX" w:eastAsia="es-MX"/>
              </w:rPr>
              <w:t xml:space="preserve">         </w:t>
            </w:r>
            <w:r w:rsidR="00C0114B" w:rsidRPr="00C0114B">
              <w:rPr>
                <w:rFonts w:ascii="Calibri" w:hAnsi="Calibri" w:cs="Calibri"/>
                <w:bCs/>
                <w:color w:val="212529"/>
                <w:sz w:val="24"/>
                <w:szCs w:val="24"/>
                <w:lang w:val="es-MX" w:eastAsia="es-MX"/>
              </w:rPr>
              <w:t>NIVEL SALARIAL</w:t>
            </w:r>
          </w:p>
        </w:tc>
      </w:tr>
      <w:tr w:rsidR="00C0114B" w:rsidRPr="00C0114B" w:rsidTr="00C0114B">
        <w:trPr>
          <w:trHeight w:val="229"/>
        </w:trPr>
        <w:tc>
          <w:tcPr>
            <w:tcW w:w="4786" w:type="dxa"/>
            <w:noWrap/>
            <w:hideMark/>
          </w:tcPr>
          <w:p w:rsidR="00C0114B" w:rsidRPr="00C0114B" w:rsidRDefault="00C0114B" w:rsidP="00C0114B">
            <w:pPr>
              <w:spacing w:after="100" w:afterAutospacing="1"/>
              <w:ind w:left="1080" w:hanging="909"/>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ADÁN</w:t>
            </w:r>
            <w:r w:rsidRPr="00C0114B">
              <w:rPr>
                <w:rFonts w:ascii="Calibri" w:hAnsi="Calibri" w:cs="Calibri"/>
                <w:bCs/>
                <w:color w:val="212529"/>
                <w:sz w:val="24"/>
                <w:szCs w:val="24"/>
                <w:lang w:val="es-MX" w:eastAsia="es-MX"/>
              </w:rPr>
              <w:t xml:space="preserve"> </w:t>
            </w:r>
            <w:r w:rsidRPr="00C0114B">
              <w:rPr>
                <w:rFonts w:ascii="Calibri" w:hAnsi="Calibri" w:cs="Calibri"/>
                <w:bCs/>
                <w:color w:val="212529"/>
                <w:sz w:val="24"/>
                <w:szCs w:val="24"/>
                <w:lang w:val="es-MX" w:eastAsia="es-MX"/>
              </w:rPr>
              <w:t>MÁRQUEZ</w:t>
            </w:r>
            <w:r w:rsidRPr="00C0114B">
              <w:rPr>
                <w:rFonts w:ascii="Calibri" w:hAnsi="Calibri" w:cs="Calibri"/>
                <w:bCs/>
                <w:color w:val="212529"/>
                <w:sz w:val="24"/>
                <w:szCs w:val="24"/>
                <w:lang w:val="es-MX" w:eastAsia="es-MX"/>
              </w:rPr>
              <w:t xml:space="preserve"> </w:t>
            </w:r>
            <w:r w:rsidRPr="00C0114B">
              <w:rPr>
                <w:rFonts w:ascii="Calibri" w:hAnsi="Calibri" w:cs="Calibri"/>
                <w:bCs/>
                <w:color w:val="212529"/>
                <w:sz w:val="24"/>
                <w:szCs w:val="24"/>
                <w:lang w:val="es-MX" w:eastAsia="es-MX"/>
              </w:rPr>
              <w:t>HERNÁNDEZ</w:t>
            </w:r>
          </w:p>
        </w:tc>
        <w:tc>
          <w:tcPr>
            <w:tcW w:w="4140" w:type="dxa"/>
            <w:noWrap/>
            <w:hideMark/>
          </w:tcPr>
          <w:p w:rsidR="00C0114B" w:rsidRPr="00C0114B" w:rsidRDefault="00C0114B" w:rsidP="00C0114B">
            <w:pPr>
              <w:spacing w:after="100" w:afterAutospacing="1"/>
              <w:ind w:left="1080"/>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18.4</w:t>
            </w:r>
          </w:p>
        </w:tc>
      </w:tr>
      <w:tr w:rsidR="00C0114B" w:rsidRPr="00C0114B" w:rsidTr="00C0114B">
        <w:trPr>
          <w:trHeight w:val="134"/>
        </w:trPr>
        <w:tc>
          <w:tcPr>
            <w:tcW w:w="4786" w:type="dxa"/>
            <w:noWrap/>
            <w:hideMark/>
          </w:tcPr>
          <w:p w:rsidR="00C0114B" w:rsidRPr="00C0114B" w:rsidRDefault="00C0114B" w:rsidP="00C0114B">
            <w:pPr>
              <w:spacing w:after="100" w:afterAutospacing="1"/>
              <w:ind w:left="1080" w:hanging="909"/>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ALFREDO ROCHA SALVADOR</w:t>
            </w:r>
          </w:p>
        </w:tc>
        <w:tc>
          <w:tcPr>
            <w:tcW w:w="4140" w:type="dxa"/>
            <w:noWrap/>
            <w:hideMark/>
          </w:tcPr>
          <w:p w:rsidR="00C0114B" w:rsidRPr="00C0114B" w:rsidRDefault="00C0114B" w:rsidP="00C0114B">
            <w:pPr>
              <w:spacing w:after="100" w:afterAutospacing="1"/>
              <w:ind w:left="1080"/>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18.4</w:t>
            </w:r>
          </w:p>
        </w:tc>
      </w:tr>
      <w:tr w:rsidR="00C0114B" w:rsidRPr="00C0114B" w:rsidTr="00C0114B">
        <w:trPr>
          <w:trHeight w:val="236"/>
        </w:trPr>
        <w:tc>
          <w:tcPr>
            <w:tcW w:w="4786" w:type="dxa"/>
            <w:noWrap/>
            <w:hideMark/>
          </w:tcPr>
          <w:p w:rsidR="00C0114B" w:rsidRPr="00C0114B" w:rsidRDefault="00C0114B" w:rsidP="00C0114B">
            <w:pPr>
              <w:spacing w:after="100" w:afterAutospacing="1"/>
              <w:ind w:left="1080" w:hanging="909"/>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ANDRÉS</w:t>
            </w:r>
            <w:r w:rsidRPr="00C0114B">
              <w:rPr>
                <w:rFonts w:ascii="Calibri" w:hAnsi="Calibri" w:cs="Calibri"/>
                <w:bCs/>
                <w:color w:val="212529"/>
                <w:sz w:val="24"/>
                <w:szCs w:val="24"/>
                <w:lang w:val="es-MX" w:eastAsia="es-MX"/>
              </w:rPr>
              <w:t xml:space="preserve"> </w:t>
            </w:r>
            <w:r w:rsidRPr="00C0114B">
              <w:rPr>
                <w:rFonts w:ascii="Calibri" w:hAnsi="Calibri" w:cs="Calibri"/>
                <w:bCs/>
                <w:color w:val="212529"/>
                <w:sz w:val="24"/>
                <w:szCs w:val="24"/>
                <w:lang w:val="es-MX" w:eastAsia="es-MX"/>
              </w:rPr>
              <w:t>DÍAZ</w:t>
            </w:r>
            <w:r w:rsidRPr="00C0114B">
              <w:rPr>
                <w:rFonts w:ascii="Calibri" w:hAnsi="Calibri" w:cs="Calibri"/>
                <w:bCs/>
                <w:color w:val="212529"/>
                <w:sz w:val="24"/>
                <w:szCs w:val="24"/>
                <w:lang w:val="es-MX" w:eastAsia="es-MX"/>
              </w:rPr>
              <w:t xml:space="preserve"> LUNA</w:t>
            </w:r>
          </w:p>
        </w:tc>
        <w:tc>
          <w:tcPr>
            <w:tcW w:w="4140" w:type="dxa"/>
            <w:noWrap/>
            <w:hideMark/>
          </w:tcPr>
          <w:p w:rsidR="00C0114B" w:rsidRPr="00C0114B" w:rsidRDefault="00C0114B" w:rsidP="00C0114B">
            <w:pPr>
              <w:spacing w:after="100" w:afterAutospacing="1"/>
              <w:ind w:left="1080"/>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20.3</w:t>
            </w:r>
          </w:p>
        </w:tc>
      </w:tr>
      <w:tr w:rsidR="00C0114B" w:rsidRPr="00C0114B" w:rsidTr="00C0114B">
        <w:trPr>
          <w:trHeight w:val="139"/>
        </w:trPr>
        <w:tc>
          <w:tcPr>
            <w:tcW w:w="4786" w:type="dxa"/>
            <w:noWrap/>
            <w:hideMark/>
          </w:tcPr>
          <w:p w:rsidR="00C0114B" w:rsidRPr="00C0114B" w:rsidRDefault="00C0114B" w:rsidP="00C0114B">
            <w:pPr>
              <w:spacing w:after="100" w:afterAutospacing="1"/>
              <w:ind w:left="1080" w:hanging="909"/>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DAVID CUAUHTÉMOC MEDINA GUERRERO</w:t>
            </w:r>
          </w:p>
        </w:tc>
        <w:tc>
          <w:tcPr>
            <w:tcW w:w="4140" w:type="dxa"/>
            <w:noWrap/>
            <w:hideMark/>
          </w:tcPr>
          <w:p w:rsidR="00C0114B" w:rsidRPr="00C0114B" w:rsidRDefault="00C0114B" w:rsidP="00C0114B">
            <w:pPr>
              <w:spacing w:after="100" w:afterAutospacing="1"/>
              <w:ind w:left="1080"/>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18.4</w:t>
            </w:r>
          </w:p>
        </w:tc>
      </w:tr>
      <w:tr w:rsidR="00C0114B" w:rsidRPr="00C0114B" w:rsidTr="00C0114B">
        <w:trPr>
          <w:trHeight w:val="100"/>
        </w:trPr>
        <w:tc>
          <w:tcPr>
            <w:tcW w:w="4786" w:type="dxa"/>
            <w:noWrap/>
            <w:hideMark/>
          </w:tcPr>
          <w:p w:rsidR="00C0114B" w:rsidRPr="00C0114B" w:rsidRDefault="00C0114B" w:rsidP="00C0114B">
            <w:pPr>
              <w:spacing w:after="100" w:afterAutospacing="1"/>
              <w:ind w:left="1080" w:hanging="909"/>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 xml:space="preserve">EMILIO JIMENEZ </w:t>
            </w:r>
            <w:r w:rsidRPr="00C0114B">
              <w:rPr>
                <w:rFonts w:ascii="Calibri" w:hAnsi="Calibri" w:cs="Calibri"/>
                <w:bCs/>
                <w:color w:val="212529"/>
                <w:sz w:val="24"/>
                <w:szCs w:val="24"/>
                <w:lang w:val="es-MX" w:eastAsia="es-MX"/>
              </w:rPr>
              <w:t>MACÍAS</w:t>
            </w:r>
          </w:p>
        </w:tc>
        <w:tc>
          <w:tcPr>
            <w:tcW w:w="4140" w:type="dxa"/>
            <w:noWrap/>
            <w:hideMark/>
          </w:tcPr>
          <w:p w:rsidR="00C0114B" w:rsidRPr="00C0114B" w:rsidRDefault="00C0114B" w:rsidP="00C0114B">
            <w:pPr>
              <w:spacing w:after="100" w:afterAutospacing="1"/>
              <w:ind w:left="1080"/>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18.4</w:t>
            </w:r>
          </w:p>
        </w:tc>
      </w:tr>
      <w:tr w:rsidR="00C0114B" w:rsidRPr="00C0114B" w:rsidTr="00C0114B">
        <w:trPr>
          <w:trHeight w:val="201"/>
        </w:trPr>
        <w:tc>
          <w:tcPr>
            <w:tcW w:w="4786" w:type="dxa"/>
            <w:noWrap/>
            <w:hideMark/>
          </w:tcPr>
          <w:p w:rsidR="00C0114B" w:rsidRPr="00C0114B" w:rsidRDefault="00C0114B" w:rsidP="00C0114B">
            <w:pPr>
              <w:spacing w:after="100" w:afterAutospacing="1"/>
              <w:ind w:left="1080" w:hanging="909"/>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ENRIQUE GARCIA PEINADO</w:t>
            </w:r>
          </w:p>
        </w:tc>
        <w:tc>
          <w:tcPr>
            <w:tcW w:w="4140" w:type="dxa"/>
            <w:noWrap/>
            <w:hideMark/>
          </w:tcPr>
          <w:p w:rsidR="00C0114B" w:rsidRPr="00C0114B" w:rsidRDefault="00C0114B" w:rsidP="00C0114B">
            <w:pPr>
              <w:spacing w:after="100" w:afterAutospacing="1"/>
              <w:ind w:left="1080"/>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18.4</w:t>
            </w:r>
          </w:p>
        </w:tc>
      </w:tr>
      <w:tr w:rsidR="00C0114B" w:rsidRPr="00C0114B" w:rsidTr="00C0114B">
        <w:trPr>
          <w:trHeight w:val="133"/>
        </w:trPr>
        <w:tc>
          <w:tcPr>
            <w:tcW w:w="4786" w:type="dxa"/>
            <w:noWrap/>
            <w:hideMark/>
          </w:tcPr>
          <w:p w:rsidR="00C0114B" w:rsidRPr="00C0114B" w:rsidRDefault="00C0114B" w:rsidP="00C0114B">
            <w:pPr>
              <w:spacing w:after="100" w:afterAutospacing="1"/>
              <w:ind w:left="1080" w:hanging="909"/>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FERNANDO RAMÍREZ LONA</w:t>
            </w:r>
          </w:p>
        </w:tc>
        <w:tc>
          <w:tcPr>
            <w:tcW w:w="4140" w:type="dxa"/>
            <w:noWrap/>
            <w:hideMark/>
          </w:tcPr>
          <w:p w:rsidR="00C0114B" w:rsidRPr="00C0114B" w:rsidRDefault="00C0114B" w:rsidP="00C0114B">
            <w:pPr>
              <w:spacing w:after="100" w:afterAutospacing="1"/>
              <w:ind w:left="1080"/>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18.4</w:t>
            </w:r>
          </w:p>
        </w:tc>
      </w:tr>
      <w:tr w:rsidR="00C0114B" w:rsidRPr="00C0114B" w:rsidTr="00C0114B">
        <w:trPr>
          <w:trHeight w:val="236"/>
        </w:trPr>
        <w:tc>
          <w:tcPr>
            <w:tcW w:w="4786" w:type="dxa"/>
            <w:noWrap/>
            <w:hideMark/>
          </w:tcPr>
          <w:p w:rsidR="00C0114B" w:rsidRPr="00C0114B" w:rsidRDefault="00C0114B" w:rsidP="00C0114B">
            <w:pPr>
              <w:spacing w:after="100" w:afterAutospacing="1"/>
              <w:ind w:left="1080" w:hanging="909"/>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FRANCISCO GALICIA SANTIAGO</w:t>
            </w:r>
          </w:p>
        </w:tc>
        <w:tc>
          <w:tcPr>
            <w:tcW w:w="4140" w:type="dxa"/>
            <w:noWrap/>
            <w:hideMark/>
          </w:tcPr>
          <w:p w:rsidR="00C0114B" w:rsidRPr="00C0114B" w:rsidRDefault="00C0114B" w:rsidP="00C0114B">
            <w:pPr>
              <w:spacing w:after="100" w:afterAutospacing="1"/>
              <w:ind w:left="1080"/>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18.4</w:t>
            </w:r>
          </w:p>
        </w:tc>
      </w:tr>
      <w:tr w:rsidR="00C0114B" w:rsidRPr="00C0114B" w:rsidTr="00C0114B">
        <w:trPr>
          <w:trHeight w:val="125"/>
        </w:trPr>
        <w:tc>
          <w:tcPr>
            <w:tcW w:w="4786" w:type="dxa"/>
            <w:noWrap/>
            <w:hideMark/>
          </w:tcPr>
          <w:p w:rsidR="00C0114B" w:rsidRPr="00C0114B" w:rsidRDefault="00C0114B" w:rsidP="00C0114B">
            <w:pPr>
              <w:spacing w:after="100" w:afterAutospacing="1"/>
              <w:ind w:left="1080" w:hanging="909"/>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HERMENEGILDO MARIO ESTEFES</w:t>
            </w:r>
          </w:p>
        </w:tc>
        <w:tc>
          <w:tcPr>
            <w:tcW w:w="4140" w:type="dxa"/>
            <w:noWrap/>
            <w:hideMark/>
          </w:tcPr>
          <w:p w:rsidR="00C0114B" w:rsidRPr="00C0114B" w:rsidRDefault="00C0114B" w:rsidP="00C0114B">
            <w:pPr>
              <w:spacing w:after="100" w:afterAutospacing="1"/>
              <w:ind w:left="1080"/>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20.3</w:t>
            </w:r>
          </w:p>
        </w:tc>
      </w:tr>
      <w:tr w:rsidR="00C0114B" w:rsidRPr="00C0114B" w:rsidTr="00C0114B">
        <w:trPr>
          <w:trHeight w:val="228"/>
        </w:trPr>
        <w:tc>
          <w:tcPr>
            <w:tcW w:w="4786" w:type="dxa"/>
            <w:noWrap/>
            <w:hideMark/>
          </w:tcPr>
          <w:p w:rsidR="00C0114B" w:rsidRPr="00C0114B" w:rsidRDefault="00C0114B" w:rsidP="00C0114B">
            <w:pPr>
              <w:spacing w:after="100" w:afterAutospacing="1"/>
              <w:ind w:left="1080" w:hanging="909"/>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JOSÉ GUADALUPE RAMÍREZ VELÁZQUEZ</w:t>
            </w:r>
          </w:p>
        </w:tc>
        <w:tc>
          <w:tcPr>
            <w:tcW w:w="4140" w:type="dxa"/>
            <w:noWrap/>
            <w:hideMark/>
          </w:tcPr>
          <w:p w:rsidR="00C0114B" w:rsidRPr="00C0114B" w:rsidRDefault="00C0114B" w:rsidP="00C0114B">
            <w:pPr>
              <w:spacing w:after="100" w:afterAutospacing="1"/>
              <w:ind w:left="1080"/>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18.4</w:t>
            </w:r>
          </w:p>
        </w:tc>
      </w:tr>
      <w:tr w:rsidR="00C0114B" w:rsidRPr="00C0114B" w:rsidTr="00C0114B">
        <w:trPr>
          <w:trHeight w:val="132"/>
        </w:trPr>
        <w:tc>
          <w:tcPr>
            <w:tcW w:w="4786" w:type="dxa"/>
            <w:noWrap/>
            <w:hideMark/>
          </w:tcPr>
          <w:p w:rsidR="00C0114B" w:rsidRPr="00C0114B" w:rsidRDefault="00C0114B" w:rsidP="00C0114B">
            <w:pPr>
              <w:spacing w:after="100" w:afterAutospacing="1"/>
              <w:ind w:left="1080" w:hanging="909"/>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JOSÉ ULISES DEVARS RAMÍREZ</w:t>
            </w:r>
          </w:p>
        </w:tc>
        <w:tc>
          <w:tcPr>
            <w:tcW w:w="4140" w:type="dxa"/>
            <w:noWrap/>
            <w:hideMark/>
          </w:tcPr>
          <w:p w:rsidR="00C0114B" w:rsidRPr="00C0114B" w:rsidRDefault="00C0114B" w:rsidP="00C0114B">
            <w:pPr>
              <w:spacing w:after="100" w:afterAutospacing="1"/>
              <w:ind w:left="1080"/>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18.4</w:t>
            </w:r>
          </w:p>
        </w:tc>
      </w:tr>
      <w:tr w:rsidR="00C0114B" w:rsidRPr="00C0114B" w:rsidTr="00C0114B">
        <w:trPr>
          <w:trHeight w:val="250"/>
        </w:trPr>
        <w:tc>
          <w:tcPr>
            <w:tcW w:w="4786" w:type="dxa"/>
            <w:noWrap/>
            <w:hideMark/>
          </w:tcPr>
          <w:p w:rsidR="00C0114B" w:rsidRPr="00C0114B" w:rsidRDefault="00C0114B" w:rsidP="00C0114B">
            <w:pPr>
              <w:spacing w:after="100" w:afterAutospacing="1"/>
              <w:ind w:left="1080" w:hanging="909"/>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 xml:space="preserve">JUAN CARLOS NAVA </w:t>
            </w:r>
            <w:r w:rsidRPr="00C0114B">
              <w:rPr>
                <w:rFonts w:ascii="Calibri" w:hAnsi="Calibri" w:cs="Calibri"/>
                <w:bCs/>
                <w:color w:val="212529"/>
                <w:sz w:val="24"/>
                <w:szCs w:val="24"/>
                <w:lang w:val="es-MX" w:eastAsia="es-MX"/>
              </w:rPr>
              <w:t>BELTRÁN</w:t>
            </w:r>
          </w:p>
        </w:tc>
        <w:tc>
          <w:tcPr>
            <w:tcW w:w="4140" w:type="dxa"/>
            <w:noWrap/>
            <w:hideMark/>
          </w:tcPr>
          <w:p w:rsidR="00C0114B" w:rsidRPr="00C0114B" w:rsidRDefault="00C0114B" w:rsidP="00C0114B">
            <w:pPr>
              <w:spacing w:after="100" w:afterAutospacing="1"/>
              <w:ind w:left="1080"/>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18.4</w:t>
            </w:r>
          </w:p>
        </w:tc>
      </w:tr>
      <w:tr w:rsidR="00C0114B" w:rsidRPr="00C0114B" w:rsidTr="00C0114B">
        <w:trPr>
          <w:trHeight w:val="84"/>
        </w:trPr>
        <w:tc>
          <w:tcPr>
            <w:tcW w:w="4786" w:type="dxa"/>
            <w:noWrap/>
            <w:hideMark/>
          </w:tcPr>
          <w:p w:rsidR="00C0114B" w:rsidRPr="00C0114B" w:rsidRDefault="00C0114B" w:rsidP="00C0114B">
            <w:pPr>
              <w:spacing w:after="100" w:afterAutospacing="1"/>
              <w:ind w:left="1080" w:hanging="909"/>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MARCOS ALFREDO ALARCÓN ROCHA</w:t>
            </w:r>
          </w:p>
        </w:tc>
        <w:tc>
          <w:tcPr>
            <w:tcW w:w="4140" w:type="dxa"/>
            <w:noWrap/>
            <w:hideMark/>
          </w:tcPr>
          <w:p w:rsidR="00C0114B" w:rsidRPr="00C0114B" w:rsidRDefault="00C0114B" w:rsidP="00C0114B">
            <w:pPr>
              <w:spacing w:after="100" w:afterAutospacing="1"/>
              <w:ind w:left="1080"/>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18.4</w:t>
            </w:r>
          </w:p>
        </w:tc>
      </w:tr>
      <w:tr w:rsidR="00C0114B" w:rsidRPr="00C0114B" w:rsidTr="00C0114B">
        <w:trPr>
          <w:trHeight w:val="42"/>
        </w:trPr>
        <w:tc>
          <w:tcPr>
            <w:tcW w:w="4786" w:type="dxa"/>
            <w:noWrap/>
            <w:hideMark/>
          </w:tcPr>
          <w:p w:rsidR="00C0114B" w:rsidRPr="00C0114B" w:rsidRDefault="00C0114B" w:rsidP="00C0114B">
            <w:pPr>
              <w:spacing w:after="100" w:afterAutospacing="1"/>
              <w:ind w:left="1080" w:hanging="909"/>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RUTILO GARCIA ESQUIVEL</w:t>
            </w:r>
          </w:p>
        </w:tc>
        <w:tc>
          <w:tcPr>
            <w:tcW w:w="4140" w:type="dxa"/>
            <w:noWrap/>
            <w:hideMark/>
          </w:tcPr>
          <w:p w:rsidR="00C0114B" w:rsidRPr="00C0114B" w:rsidRDefault="00C0114B" w:rsidP="00C0114B">
            <w:pPr>
              <w:spacing w:after="100" w:afterAutospacing="1"/>
              <w:ind w:left="1080"/>
              <w:contextualSpacing/>
              <w:rPr>
                <w:rFonts w:ascii="Calibri" w:hAnsi="Calibri" w:cs="Calibri"/>
                <w:color w:val="212529"/>
                <w:sz w:val="24"/>
                <w:szCs w:val="24"/>
                <w:lang w:val="es-MX" w:eastAsia="es-MX"/>
              </w:rPr>
            </w:pPr>
            <w:r w:rsidRPr="00C0114B">
              <w:rPr>
                <w:rFonts w:ascii="Calibri" w:hAnsi="Calibri" w:cs="Calibri"/>
                <w:bCs/>
                <w:color w:val="212529"/>
                <w:sz w:val="24"/>
                <w:szCs w:val="24"/>
                <w:lang w:val="es-MX" w:eastAsia="es-MX"/>
              </w:rPr>
              <w:t>18.4</w:t>
            </w:r>
          </w:p>
        </w:tc>
      </w:tr>
    </w:tbl>
    <w:p w:rsidR="00C0114B" w:rsidRPr="00C0114B" w:rsidRDefault="00C0114B" w:rsidP="00C0114B">
      <w:pPr>
        <w:rPr>
          <w:rFonts w:ascii="Arial" w:hAnsi="Arial" w:cs="Arial"/>
          <w:color w:val="212529"/>
          <w:sz w:val="24"/>
          <w:szCs w:val="24"/>
          <w:lang w:val="es-MX" w:eastAsia="es-MX"/>
        </w:rPr>
      </w:pPr>
    </w:p>
    <w:p w:rsidR="00C0114B" w:rsidRPr="00C0114B" w:rsidRDefault="00C0114B" w:rsidP="00C0114B">
      <w:pPr>
        <w:rPr>
          <w:rFonts w:ascii="Arial" w:hAnsi="Arial" w:cs="Arial"/>
          <w:b/>
          <w:color w:val="212529"/>
          <w:sz w:val="24"/>
          <w:szCs w:val="24"/>
          <w:lang w:val="es-MX" w:eastAsia="es-MX"/>
        </w:rPr>
      </w:pPr>
      <w:r w:rsidRPr="00C0114B">
        <w:rPr>
          <w:rFonts w:ascii="Arial" w:hAnsi="Arial" w:cs="Arial"/>
          <w:b/>
          <w:color w:val="212529"/>
          <w:sz w:val="24"/>
          <w:szCs w:val="24"/>
          <w:lang w:val="es-MX" w:eastAsia="es-MX"/>
        </w:rPr>
        <w:t xml:space="preserve">3. A que funcionarios están directamente adscritos </w:t>
      </w:r>
    </w:p>
    <w:p w:rsidR="00C0114B" w:rsidRPr="00C0114B" w:rsidRDefault="00C0114B" w:rsidP="00C0114B">
      <w:pPr>
        <w:rPr>
          <w:rFonts w:ascii="Arial" w:hAnsi="Arial" w:cs="Arial"/>
          <w:color w:val="212529"/>
          <w:sz w:val="24"/>
          <w:szCs w:val="24"/>
          <w:lang w:val="es-MX" w:eastAsia="es-MX"/>
        </w:rPr>
      </w:pPr>
    </w:p>
    <w:p w:rsidR="00C0114B" w:rsidRPr="00C0114B" w:rsidRDefault="00C0114B" w:rsidP="00C0114B">
      <w:pPr>
        <w:rPr>
          <w:rFonts w:ascii="Arial" w:hAnsi="Arial" w:cs="Arial"/>
          <w:color w:val="212529"/>
          <w:sz w:val="24"/>
          <w:szCs w:val="24"/>
          <w:lang w:val="es-MX" w:eastAsia="es-MX"/>
        </w:rPr>
      </w:pPr>
      <w:r w:rsidRPr="00C0114B">
        <w:rPr>
          <w:rFonts w:ascii="Arial" w:hAnsi="Arial" w:cs="Arial"/>
          <w:color w:val="212529"/>
          <w:sz w:val="24"/>
          <w:szCs w:val="24"/>
          <w:lang w:val="es-MX" w:eastAsia="es-MX"/>
        </w:rPr>
        <w:t>El personal con puesto de chofer no se adscribe a servidores públicos. Se encuentran adscritos en las Unidades Administrativas que integran la institución conforme a las necesidades del servicio, organización administrativa y estructura organizacional.</w:t>
      </w:r>
    </w:p>
    <w:p w:rsidR="00C0114B" w:rsidRPr="00C0114B" w:rsidRDefault="00C0114B" w:rsidP="00C0114B">
      <w:pPr>
        <w:rPr>
          <w:rFonts w:ascii="Arial" w:hAnsi="Arial" w:cs="Arial"/>
          <w:color w:val="212529"/>
          <w:sz w:val="24"/>
          <w:szCs w:val="24"/>
          <w:lang w:val="es-MX" w:eastAsia="es-MX"/>
        </w:rPr>
      </w:pPr>
    </w:p>
    <w:p w:rsidR="00C0114B" w:rsidRPr="00C0114B" w:rsidRDefault="00C0114B" w:rsidP="00C0114B">
      <w:pPr>
        <w:rPr>
          <w:rFonts w:ascii="Arial" w:hAnsi="Arial" w:cs="Arial"/>
          <w:b/>
          <w:color w:val="212529"/>
          <w:sz w:val="24"/>
          <w:szCs w:val="24"/>
          <w:lang w:val="es-MX" w:eastAsia="es-MX"/>
        </w:rPr>
      </w:pPr>
      <w:r w:rsidRPr="00C0114B">
        <w:rPr>
          <w:rFonts w:ascii="Arial" w:hAnsi="Arial" w:cs="Arial"/>
          <w:b/>
          <w:color w:val="212529"/>
          <w:sz w:val="24"/>
          <w:szCs w:val="24"/>
          <w:lang w:val="es-MX" w:eastAsia="es-MX"/>
        </w:rPr>
        <w:t xml:space="preserve">4. ¿cuáles son los servidores públicos con nombres y cargos que cuentan con chofer de la institución y por qué? </w:t>
      </w:r>
    </w:p>
    <w:p w:rsidR="00C0114B" w:rsidRPr="00C0114B" w:rsidRDefault="00C0114B" w:rsidP="00C0114B">
      <w:pPr>
        <w:rPr>
          <w:rFonts w:ascii="Arial" w:hAnsi="Arial" w:cs="Arial"/>
          <w:color w:val="212529"/>
          <w:sz w:val="24"/>
          <w:szCs w:val="24"/>
          <w:lang w:val="es-MX" w:eastAsia="es-MX"/>
        </w:rPr>
      </w:pPr>
    </w:p>
    <w:p w:rsidR="00C0114B" w:rsidRPr="00C0114B" w:rsidRDefault="00C0114B" w:rsidP="00C0114B">
      <w:pPr>
        <w:rPr>
          <w:rFonts w:ascii="Arial" w:hAnsi="Arial" w:cs="Arial"/>
          <w:color w:val="212529"/>
          <w:sz w:val="24"/>
          <w:szCs w:val="24"/>
          <w:lang w:val="es-MX" w:eastAsia="es-MX"/>
        </w:rPr>
      </w:pPr>
      <w:r w:rsidRPr="00C0114B">
        <w:rPr>
          <w:rFonts w:ascii="Arial" w:hAnsi="Arial" w:cs="Arial"/>
          <w:color w:val="212529"/>
          <w:sz w:val="24"/>
          <w:szCs w:val="24"/>
          <w:lang w:val="es-MX" w:eastAsia="es-MX"/>
        </w:rPr>
        <w:t>El personal con puesto de chofer no se adscribe a servidores públicos en específico.</w:t>
      </w:r>
    </w:p>
    <w:p w:rsidR="00C0114B" w:rsidRPr="00C0114B" w:rsidRDefault="00C0114B" w:rsidP="00C0114B">
      <w:pPr>
        <w:rPr>
          <w:rFonts w:ascii="Arial" w:hAnsi="Arial" w:cs="Arial"/>
          <w:color w:val="212529"/>
          <w:sz w:val="24"/>
          <w:szCs w:val="24"/>
          <w:lang w:val="es-MX" w:eastAsia="es-MX"/>
        </w:rPr>
      </w:pPr>
    </w:p>
    <w:p w:rsidR="00C0114B" w:rsidRPr="00C0114B" w:rsidRDefault="00C0114B" w:rsidP="00C0114B">
      <w:pPr>
        <w:rPr>
          <w:rFonts w:ascii="Arial" w:hAnsi="Arial" w:cs="Arial"/>
          <w:b/>
          <w:color w:val="212529"/>
          <w:sz w:val="24"/>
          <w:szCs w:val="24"/>
          <w:lang w:val="es-MX" w:eastAsia="es-MX"/>
        </w:rPr>
      </w:pPr>
      <w:r w:rsidRPr="00C0114B">
        <w:rPr>
          <w:rFonts w:ascii="Arial" w:hAnsi="Arial" w:cs="Arial"/>
          <w:b/>
          <w:color w:val="212529"/>
          <w:sz w:val="24"/>
          <w:szCs w:val="24"/>
          <w:lang w:val="es-MX" w:eastAsia="es-MX"/>
        </w:rPr>
        <w:t>5. ¿Quién decide a quienes se les apoya o requiere chofer de la institución y por qué?</w:t>
      </w:r>
    </w:p>
    <w:p w:rsidR="00C0114B" w:rsidRPr="00C0114B" w:rsidRDefault="00C0114B" w:rsidP="00C0114B">
      <w:pPr>
        <w:rPr>
          <w:rFonts w:ascii="Arial" w:hAnsi="Arial" w:cs="Arial"/>
          <w:color w:val="212529"/>
          <w:sz w:val="24"/>
          <w:szCs w:val="24"/>
          <w:lang w:val="es-MX" w:eastAsia="es-MX"/>
        </w:rPr>
      </w:pPr>
    </w:p>
    <w:p w:rsidR="00C0114B" w:rsidRPr="00C0114B" w:rsidRDefault="00C0114B" w:rsidP="00C0114B">
      <w:pPr>
        <w:rPr>
          <w:rFonts w:ascii="Arial" w:hAnsi="Arial" w:cs="Arial"/>
          <w:color w:val="212529"/>
          <w:sz w:val="24"/>
          <w:szCs w:val="24"/>
          <w:lang w:val="es-MX" w:eastAsia="es-MX"/>
        </w:rPr>
      </w:pPr>
      <w:r w:rsidRPr="00C0114B">
        <w:rPr>
          <w:rFonts w:ascii="Arial" w:hAnsi="Arial" w:cs="Arial"/>
          <w:color w:val="212529"/>
          <w:sz w:val="24"/>
          <w:szCs w:val="24"/>
          <w:lang w:val="es-MX" w:eastAsia="es-MX"/>
        </w:rPr>
        <w:t xml:space="preserve">Conforme a las necesidades del servicio, organización administrativa y estructura organizacional se asigna personal con puesto de chofer, para el servicio de cada Unidad Administrativa que </w:t>
      </w:r>
      <w:r w:rsidRPr="00C0114B">
        <w:rPr>
          <w:rFonts w:ascii="Arial" w:hAnsi="Arial" w:cs="Arial"/>
          <w:color w:val="212529"/>
          <w:sz w:val="24"/>
          <w:szCs w:val="24"/>
          <w:lang w:val="es-MX" w:eastAsia="es-MX"/>
        </w:rPr>
        <w:t>integra</w:t>
      </w:r>
      <w:r w:rsidRPr="00C0114B">
        <w:rPr>
          <w:rFonts w:ascii="Arial" w:hAnsi="Arial" w:cs="Arial"/>
          <w:color w:val="212529"/>
          <w:sz w:val="24"/>
          <w:szCs w:val="24"/>
          <w:lang w:val="es-MX" w:eastAsia="es-MX"/>
        </w:rPr>
        <w:t xml:space="preserve"> la institución, así como los que se encuentran adscritos al área de Servicios Generales en la Dirección General de Administración.</w:t>
      </w:r>
    </w:p>
    <w:p w:rsidR="00C0114B" w:rsidRPr="00C0114B" w:rsidRDefault="00C0114B" w:rsidP="00C0114B">
      <w:pPr>
        <w:rPr>
          <w:rFonts w:ascii="Arial" w:hAnsi="Arial" w:cs="Arial"/>
          <w:color w:val="212529"/>
          <w:szCs w:val="22"/>
          <w:lang w:val="es-MX" w:eastAsia="es-MX"/>
        </w:rPr>
      </w:pPr>
    </w:p>
    <w:p w:rsidR="00C0114B" w:rsidRPr="00C0114B" w:rsidRDefault="00C0114B" w:rsidP="00C0114B">
      <w:pPr>
        <w:rPr>
          <w:rFonts w:ascii="Arial" w:hAnsi="Arial" w:cs="Arial"/>
          <w:color w:val="212529"/>
          <w:szCs w:val="22"/>
          <w:lang w:val="es-MX" w:eastAsia="es-MX"/>
        </w:rPr>
      </w:pPr>
    </w:p>
    <w:p w:rsidR="00613688" w:rsidRPr="00EC21B5" w:rsidRDefault="00613688" w:rsidP="00613688">
      <w:pPr>
        <w:pStyle w:val="Puesto1"/>
        <w:spacing w:before="100" w:beforeAutospacing="1" w:after="100" w:afterAutospacing="1"/>
        <w:ind w:right="-91"/>
        <w:rPr>
          <w:rFonts w:ascii="Arial" w:hAnsi="Arial" w:cs="Arial"/>
          <w:sz w:val="24"/>
        </w:rPr>
      </w:pPr>
      <w:r w:rsidRPr="00EC21B5">
        <w:rPr>
          <w:rFonts w:ascii="Arial" w:hAnsi="Arial" w:cs="Arial"/>
          <w:sz w:val="24"/>
        </w:rPr>
        <w:t>¿Cuentan con un Servicio Profesional de Carrera en su Institución?</w:t>
      </w:r>
    </w:p>
    <w:p w:rsidR="00613688" w:rsidRPr="00EC21B5" w:rsidRDefault="00613688" w:rsidP="00613688">
      <w:pPr>
        <w:pStyle w:val="Puesto1"/>
        <w:spacing w:before="100" w:beforeAutospacing="1" w:after="100" w:afterAutospacing="1"/>
        <w:ind w:right="-91"/>
        <w:rPr>
          <w:rFonts w:ascii="Arial" w:hAnsi="Arial" w:cs="Arial"/>
          <w:b w:val="0"/>
          <w:sz w:val="24"/>
        </w:rPr>
      </w:pPr>
      <w:r w:rsidRPr="00EC21B5">
        <w:rPr>
          <w:rFonts w:ascii="Arial" w:hAnsi="Arial" w:cs="Arial"/>
          <w:b w:val="0"/>
          <w:sz w:val="24"/>
        </w:rPr>
        <w:lastRenderedPageBreak/>
        <w:t>Si, se cuenta con un Servicio Profesional de Carrera en la Auditoría Superior de la Ciudad de México.</w:t>
      </w:r>
    </w:p>
    <w:p w:rsidR="00613688" w:rsidRPr="00EC21B5" w:rsidRDefault="00613688" w:rsidP="00613688">
      <w:pPr>
        <w:pStyle w:val="Puesto1"/>
        <w:spacing w:before="100" w:beforeAutospacing="1" w:after="100" w:afterAutospacing="1"/>
        <w:ind w:right="-91"/>
        <w:rPr>
          <w:rFonts w:ascii="Arial" w:hAnsi="Arial" w:cs="Arial"/>
          <w:sz w:val="24"/>
        </w:rPr>
      </w:pPr>
      <w:r w:rsidRPr="00EC21B5">
        <w:rPr>
          <w:rFonts w:ascii="Arial" w:hAnsi="Arial" w:cs="Arial"/>
          <w:sz w:val="24"/>
        </w:rPr>
        <w:t>¿Cuál es la normatividad que lo regula?</w:t>
      </w:r>
    </w:p>
    <w:p w:rsidR="00613688" w:rsidRPr="00EC21B5" w:rsidRDefault="00613688" w:rsidP="00613688">
      <w:pPr>
        <w:pStyle w:val="Puesto1"/>
        <w:spacing w:before="100" w:beforeAutospacing="1" w:after="100" w:afterAutospacing="1"/>
        <w:ind w:right="-91"/>
        <w:rPr>
          <w:rFonts w:ascii="Arial" w:hAnsi="Arial" w:cs="Arial"/>
          <w:b w:val="0"/>
          <w:sz w:val="24"/>
        </w:rPr>
      </w:pPr>
      <w:r w:rsidRPr="00EC21B5">
        <w:rPr>
          <w:rFonts w:ascii="Arial" w:hAnsi="Arial" w:cs="Arial"/>
          <w:b w:val="0"/>
          <w:sz w:val="24"/>
        </w:rPr>
        <w:t xml:space="preserve">El Marco Regulatorio del Servicio Profesional Fiscalizador de Carrera en la Auditoría Superior de la Ciudad de México (ASCM) está regido por: Ley de Fiscalización Superior de la Ciudad de México; Reglamento Interior de la Auditoría Superior de la Ciudad de México; Estatuto del Servicio Profesional Fiscalizador de Carrera de la Auditoría Superior de la Ciudad de México; Manual de Procedimientos de Ingreso al Servicio Profesional Fiscalizador de Carrera, Manual de Procedimientos para la Movilidad de las y los Integrantes del Servicio Profesional, Manual para la Capacitación de las y los Integrantes del Servicio Profesional Fiscalizador de Carrera y el Manual de Procedimientos para la Evaluación del Desempeño a las y los Integrantes del Servicio Profesional Fiscalizador de Carrera. </w:t>
      </w:r>
    </w:p>
    <w:p w:rsidR="00613688" w:rsidRPr="00EC21B5" w:rsidRDefault="00613688" w:rsidP="00613688">
      <w:pPr>
        <w:pStyle w:val="Puesto1"/>
        <w:spacing w:before="100" w:beforeAutospacing="1" w:after="100" w:afterAutospacing="1"/>
        <w:ind w:right="-91"/>
        <w:rPr>
          <w:rFonts w:ascii="Arial" w:hAnsi="Arial" w:cs="Arial"/>
          <w:b w:val="0"/>
          <w:sz w:val="24"/>
        </w:rPr>
      </w:pPr>
      <w:r w:rsidRPr="00EC21B5">
        <w:rPr>
          <w:rFonts w:ascii="Arial" w:hAnsi="Arial" w:cs="Arial"/>
          <w:b w:val="0"/>
          <w:sz w:val="24"/>
        </w:rPr>
        <w:t xml:space="preserve">Se puede consultar dicha normativa en la página web institucional: www.ascm.gob.mx ingresando al apartado de TRANSPARENCIA, posteriormente selecciona el Artículo 121, Fracción I. Marco Normativo. </w:t>
      </w:r>
    </w:p>
    <w:p w:rsidR="00613688" w:rsidRPr="00EC21B5" w:rsidRDefault="00CE10C2" w:rsidP="00613688">
      <w:pPr>
        <w:pStyle w:val="Puesto1"/>
        <w:spacing w:before="100" w:beforeAutospacing="1" w:after="100" w:afterAutospacing="1"/>
        <w:ind w:right="-91"/>
        <w:rPr>
          <w:rFonts w:ascii="Arial" w:hAnsi="Arial" w:cs="Arial"/>
          <w:b w:val="0"/>
          <w:sz w:val="24"/>
        </w:rPr>
      </w:pPr>
      <w:hyperlink r:id="rId7" w:history="1">
        <w:r w:rsidR="00613688" w:rsidRPr="008D5AC8">
          <w:rPr>
            <w:rStyle w:val="Hipervnculo"/>
            <w:rFonts w:ascii="Arial" w:hAnsi="Arial" w:cs="Arial"/>
            <w:b w:val="0"/>
            <w:sz w:val="24"/>
          </w:rPr>
          <w:t>http://www.ascm.gob.mx/Sitio/Transparencia.php</w:t>
        </w:r>
      </w:hyperlink>
    </w:p>
    <w:p w:rsidR="00613688" w:rsidRPr="00EC21B5" w:rsidRDefault="00613688" w:rsidP="00613688">
      <w:pPr>
        <w:pStyle w:val="Puesto1"/>
        <w:spacing w:before="100" w:beforeAutospacing="1" w:after="100" w:afterAutospacing="1"/>
        <w:ind w:right="-91"/>
        <w:rPr>
          <w:rFonts w:ascii="Arial" w:hAnsi="Arial" w:cs="Arial"/>
          <w:sz w:val="24"/>
        </w:rPr>
      </w:pPr>
      <w:r w:rsidRPr="00EC21B5">
        <w:rPr>
          <w:rFonts w:ascii="Arial" w:hAnsi="Arial" w:cs="Arial"/>
          <w:sz w:val="24"/>
        </w:rPr>
        <w:t>¿Cuántas personas servidoras públicas integran el servicio profesional de carrera de su institución?</w:t>
      </w:r>
    </w:p>
    <w:p w:rsidR="00613688" w:rsidRPr="00EC21B5" w:rsidRDefault="00613688" w:rsidP="00613688">
      <w:pPr>
        <w:pStyle w:val="Puesto1"/>
        <w:spacing w:before="100" w:beforeAutospacing="1" w:after="100" w:afterAutospacing="1"/>
        <w:ind w:right="-91"/>
        <w:rPr>
          <w:rFonts w:ascii="Arial" w:hAnsi="Arial" w:cs="Arial"/>
          <w:b w:val="0"/>
          <w:sz w:val="24"/>
        </w:rPr>
      </w:pPr>
      <w:r>
        <w:rPr>
          <w:rFonts w:ascii="Arial" w:hAnsi="Arial" w:cs="Arial"/>
          <w:b w:val="0"/>
          <w:sz w:val="24"/>
        </w:rPr>
        <w:t xml:space="preserve">Al mes de octubre de 2021, se reportan </w:t>
      </w:r>
      <w:r w:rsidRPr="00EC21B5">
        <w:rPr>
          <w:rFonts w:ascii="Arial" w:hAnsi="Arial" w:cs="Arial"/>
          <w:b w:val="0"/>
          <w:sz w:val="24"/>
        </w:rPr>
        <w:t>193 integrantes.</w:t>
      </w:r>
    </w:p>
    <w:p w:rsidR="00613688" w:rsidRPr="00EC21B5" w:rsidRDefault="00613688" w:rsidP="00613688">
      <w:pPr>
        <w:pStyle w:val="Puesto1"/>
        <w:spacing w:before="100" w:beforeAutospacing="1" w:after="100" w:afterAutospacing="1"/>
        <w:ind w:right="-91"/>
        <w:rPr>
          <w:rFonts w:ascii="Arial" w:hAnsi="Arial" w:cs="Arial"/>
          <w:sz w:val="24"/>
        </w:rPr>
      </w:pPr>
      <w:r w:rsidRPr="00EC21B5">
        <w:rPr>
          <w:rFonts w:ascii="Arial" w:hAnsi="Arial" w:cs="Arial"/>
          <w:sz w:val="24"/>
        </w:rPr>
        <w:t>¿Cuál fue el mecanismo de ingreso de las personas servidoras públicas que integra el servicio profesional de carrera de su institución?</w:t>
      </w:r>
    </w:p>
    <w:p w:rsidR="00613688" w:rsidRPr="00EC21B5" w:rsidRDefault="00613688" w:rsidP="00613688">
      <w:pPr>
        <w:pStyle w:val="Puesto1"/>
        <w:spacing w:before="100" w:beforeAutospacing="1" w:after="100" w:afterAutospacing="1"/>
        <w:ind w:right="-91"/>
        <w:rPr>
          <w:rFonts w:ascii="Arial" w:hAnsi="Arial" w:cs="Arial"/>
          <w:b w:val="0"/>
          <w:sz w:val="24"/>
        </w:rPr>
      </w:pPr>
      <w:r w:rsidRPr="00EC21B5">
        <w:rPr>
          <w:rFonts w:ascii="Arial" w:hAnsi="Arial" w:cs="Arial"/>
          <w:b w:val="0"/>
          <w:sz w:val="24"/>
        </w:rPr>
        <w:t>El mecanismo de ingreso de las personas servidoras públicas al Servicio Profesional Fiscalizador de Carrera está regido por el Reglamento Interior de la ASCM en el Título II, Capitulo Único, artículos 29 y 30 y en el Manual de Procedimientos de Ingreso al Servicio Profesional Fiscalizador de Carrera.</w:t>
      </w:r>
    </w:p>
    <w:p w:rsidR="00613688" w:rsidRPr="00EC21B5" w:rsidRDefault="00613688" w:rsidP="00613688">
      <w:pPr>
        <w:pStyle w:val="Puesto1"/>
        <w:spacing w:before="100" w:beforeAutospacing="1" w:after="100" w:afterAutospacing="1"/>
        <w:ind w:right="-91"/>
        <w:rPr>
          <w:rFonts w:ascii="Arial" w:hAnsi="Arial" w:cs="Arial"/>
          <w:b w:val="0"/>
          <w:sz w:val="24"/>
        </w:rPr>
      </w:pPr>
      <w:r w:rsidRPr="00EC21B5">
        <w:rPr>
          <w:rFonts w:ascii="Arial" w:hAnsi="Arial" w:cs="Arial"/>
          <w:b w:val="0"/>
          <w:sz w:val="24"/>
        </w:rPr>
        <w:t xml:space="preserve">Se puede consultar dicha normativa en la página web institucional: www.ascm.gob.mx ingresando al apartado de TRANSPARENCIA, posteriormente selecciona el Artículo 121, Fracción I. Marco Normativo. </w:t>
      </w:r>
    </w:p>
    <w:p w:rsidR="00613688" w:rsidRPr="00EC21B5" w:rsidRDefault="00CE10C2" w:rsidP="00613688">
      <w:pPr>
        <w:pStyle w:val="Puesto1"/>
        <w:spacing w:before="100" w:beforeAutospacing="1" w:after="100" w:afterAutospacing="1"/>
        <w:ind w:right="-91"/>
        <w:rPr>
          <w:rFonts w:ascii="Arial" w:hAnsi="Arial" w:cs="Arial"/>
          <w:b w:val="0"/>
          <w:sz w:val="24"/>
        </w:rPr>
      </w:pPr>
      <w:hyperlink r:id="rId8" w:history="1">
        <w:r w:rsidR="00613688" w:rsidRPr="008D5AC8">
          <w:rPr>
            <w:rStyle w:val="Hipervnculo"/>
            <w:rFonts w:ascii="Arial" w:hAnsi="Arial" w:cs="Arial"/>
            <w:b w:val="0"/>
            <w:sz w:val="24"/>
          </w:rPr>
          <w:t>http://www.ascm.gob.mx/Sitio/Transparencia.php</w:t>
        </w:r>
      </w:hyperlink>
    </w:p>
    <w:p w:rsidR="00613688" w:rsidRPr="00EC21B5" w:rsidRDefault="00613688" w:rsidP="00613688">
      <w:pPr>
        <w:pStyle w:val="Puesto1"/>
        <w:spacing w:before="100" w:beforeAutospacing="1" w:after="100" w:afterAutospacing="1"/>
        <w:ind w:right="-91"/>
        <w:rPr>
          <w:rFonts w:ascii="Arial" w:hAnsi="Arial" w:cs="Arial"/>
          <w:sz w:val="24"/>
        </w:rPr>
      </w:pPr>
      <w:r w:rsidRPr="00EC21B5">
        <w:rPr>
          <w:rFonts w:ascii="Arial" w:hAnsi="Arial" w:cs="Arial"/>
          <w:sz w:val="24"/>
        </w:rPr>
        <w:t>¿Cuáles son los mecanismos de ingresos regulados por el servicio profesional de carrera de su institución?</w:t>
      </w:r>
    </w:p>
    <w:p w:rsidR="00613688" w:rsidRPr="00EC21B5" w:rsidRDefault="00613688" w:rsidP="00613688">
      <w:pPr>
        <w:pStyle w:val="Puesto1"/>
        <w:spacing w:before="100" w:beforeAutospacing="1" w:after="100" w:afterAutospacing="1"/>
        <w:ind w:right="-91"/>
        <w:rPr>
          <w:rFonts w:ascii="Arial" w:hAnsi="Arial" w:cs="Arial"/>
          <w:b w:val="0"/>
          <w:sz w:val="24"/>
        </w:rPr>
      </w:pPr>
      <w:r w:rsidRPr="00EC21B5">
        <w:rPr>
          <w:rFonts w:ascii="Arial" w:hAnsi="Arial" w:cs="Arial"/>
          <w:b w:val="0"/>
          <w:sz w:val="24"/>
        </w:rPr>
        <w:t>El mecanismo de ingreso de las personas servidoras públicas al Servicio Profesional Fiscalizador de Carrera está regido por el Reglamento Interior de la ASCM en el Título II, Capitulo Único, artículos 29 y 30 y en el Manual de Procedimientos de Ingreso al Servicio Profesional Fiscalizador de Carrera.</w:t>
      </w:r>
    </w:p>
    <w:p w:rsidR="00613688" w:rsidRPr="00EC21B5" w:rsidRDefault="00613688" w:rsidP="00613688">
      <w:pPr>
        <w:pStyle w:val="Puesto1"/>
        <w:spacing w:before="100" w:beforeAutospacing="1" w:after="100" w:afterAutospacing="1"/>
        <w:ind w:right="-91"/>
        <w:rPr>
          <w:rFonts w:ascii="Arial" w:hAnsi="Arial" w:cs="Arial"/>
          <w:b w:val="0"/>
          <w:sz w:val="24"/>
        </w:rPr>
      </w:pPr>
      <w:r w:rsidRPr="00EC21B5">
        <w:rPr>
          <w:rFonts w:ascii="Arial" w:hAnsi="Arial" w:cs="Arial"/>
          <w:b w:val="0"/>
          <w:sz w:val="24"/>
        </w:rPr>
        <w:lastRenderedPageBreak/>
        <w:t xml:space="preserve">Se puede consultar dicha normativa en la página web institucional: www.ascm.gob.mx ingresando al apartado de TRANSPARENCIA, posteriormente selecciona el Artículo 121, Fracción I. Marco Normativo. </w:t>
      </w:r>
    </w:p>
    <w:p w:rsidR="00613688" w:rsidRPr="00EC21B5" w:rsidRDefault="00CE10C2" w:rsidP="00613688">
      <w:pPr>
        <w:pStyle w:val="Puesto1"/>
        <w:spacing w:before="100" w:beforeAutospacing="1" w:after="100" w:afterAutospacing="1"/>
        <w:ind w:right="-91"/>
        <w:rPr>
          <w:rFonts w:ascii="Arial" w:hAnsi="Arial" w:cs="Arial"/>
          <w:b w:val="0"/>
          <w:sz w:val="24"/>
        </w:rPr>
      </w:pPr>
      <w:hyperlink r:id="rId9" w:history="1">
        <w:r w:rsidR="00613688" w:rsidRPr="008D5AC8">
          <w:rPr>
            <w:rStyle w:val="Hipervnculo"/>
            <w:rFonts w:ascii="Arial" w:hAnsi="Arial" w:cs="Arial"/>
            <w:b w:val="0"/>
            <w:sz w:val="24"/>
          </w:rPr>
          <w:t>http://www.ascm.gob.mx/Sitio/Transparencia.php</w:t>
        </w:r>
      </w:hyperlink>
    </w:p>
    <w:p w:rsidR="00613688" w:rsidRPr="00EC21B5" w:rsidRDefault="00613688" w:rsidP="00613688">
      <w:pPr>
        <w:pStyle w:val="Puesto1"/>
        <w:spacing w:before="100" w:beforeAutospacing="1" w:after="100" w:afterAutospacing="1"/>
        <w:ind w:right="-91"/>
        <w:rPr>
          <w:rFonts w:ascii="Arial" w:hAnsi="Arial" w:cs="Arial"/>
          <w:sz w:val="24"/>
        </w:rPr>
      </w:pPr>
      <w:r w:rsidRPr="00EC21B5">
        <w:rPr>
          <w:rFonts w:ascii="Arial" w:hAnsi="Arial" w:cs="Arial"/>
          <w:sz w:val="24"/>
        </w:rPr>
        <w:t>¿Cuáles son los parámetros para evaluar el desempeño de las personas servidoras públicas adscritas al servicio profesional de carrera?</w:t>
      </w:r>
    </w:p>
    <w:p w:rsidR="00613688" w:rsidRPr="00EC21B5" w:rsidRDefault="00613688" w:rsidP="00613688">
      <w:pPr>
        <w:pStyle w:val="Puesto1"/>
        <w:spacing w:before="100" w:beforeAutospacing="1" w:after="100" w:afterAutospacing="1"/>
        <w:ind w:right="-91"/>
        <w:rPr>
          <w:rFonts w:ascii="Arial" w:hAnsi="Arial" w:cs="Arial"/>
          <w:b w:val="0"/>
          <w:sz w:val="24"/>
        </w:rPr>
      </w:pPr>
      <w:r w:rsidRPr="00EC21B5">
        <w:rPr>
          <w:rFonts w:ascii="Arial" w:hAnsi="Arial" w:cs="Arial"/>
          <w:b w:val="0"/>
          <w:sz w:val="24"/>
        </w:rPr>
        <w:t>Los parámetros para evaluar el desempeño de las personas servidoras públicas adscritas al Servicio Profesional Fiscalizador de Carrera de la Auditoría Superior de la Ciudad de México se encuentran en el Reglamento Interior de la Auditoría Superior de la Ciudad de México en el Título II, Capitulo Único, artículo 30; el Estatuto del Servicio Profesional Fiscalizador de Carrera de la Auditoría Superior de la Ciudad de México y el Manual de Procedimientos para la evaluación y el Desempeño a las y los Integrantes del Servicio Profesional Fiscalizador de Carrera.</w:t>
      </w:r>
    </w:p>
    <w:p w:rsidR="00613688" w:rsidRDefault="00613688" w:rsidP="00613688">
      <w:pPr>
        <w:pStyle w:val="Puesto1"/>
        <w:spacing w:before="100" w:beforeAutospacing="1" w:after="100" w:afterAutospacing="1"/>
        <w:ind w:right="-91"/>
        <w:rPr>
          <w:rFonts w:ascii="Arial" w:hAnsi="Arial" w:cs="Arial"/>
          <w:b w:val="0"/>
          <w:sz w:val="24"/>
        </w:rPr>
      </w:pPr>
      <w:r w:rsidRPr="00EC21B5">
        <w:rPr>
          <w:rFonts w:ascii="Arial" w:hAnsi="Arial" w:cs="Arial"/>
          <w:b w:val="0"/>
          <w:sz w:val="24"/>
        </w:rPr>
        <w:t>Se puede consultar dicha normativa en la página web institucional: www.ascm.gob.mx ingresando al apartado de TRANSPARENCIA, posteriormente selecciona el Artículo 121, Fracción I. Marco Normativo.</w:t>
      </w:r>
    </w:p>
    <w:p w:rsidR="00613688" w:rsidRDefault="00CE10C2" w:rsidP="00613688">
      <w:pPr>
        <w:pStyle w:val="Puesto1"/>
        <w:spacing w:before="100" w:beforeAutospacing="1" w:after="100" w:afterAutospacing="1"/>
        <w:ind w:right="-91"/>
        <w:rPr>
          <w:rFonts w:ascii="Arial" w:hAnsi="Arial" w:cs="Arial"/>
          <w:b w:val="0"/>
          <w:sz w:val="24"/>
        </w:rPr>
      </w:pPr>
      <w:hyperlink r:id="rId10" w:history="1">
        <w:r w:rsidR="00613688" w:rsidRPr="008D5AC8">
          <w:rPr>
            <w:rStyle w:val="Hipervnculo"/>
            <w:rFonts w:ascii="Arial" w:hAnsi="Arial" w:cs="Arial"/>
            <w:b w:val="0"/>
            <w:sz w:val="24"/>
          </w:rPr>
          <w:t>http://www.ascm.gob.mx/Sitio/Transparencia.php</w:t>
        </w:r>
      </w:hyperlink>
    </w:p>
    <w:p w:rsidR="00613688" w:rsidRPr="005F6106" w:rsidRDefault="00613688" w:rsidP="00613688">
      <w:pPr>
        <w:pStyle w:val="Puesto1"/>
        <w:spacing w:before="100" w:beforeAutospacing="1" w:after="100" w:afterAutospacing="1"/>
        <w:ind w:right="-91"/>
        <w:rPr>
          <w:rFonts w:ascii="Arial" w:hAnsi="Arial" w:cs="Arial"/>
          <w:sz w:val="24"/>
        </w:rPr>
      </w:pPr>
      <w:r w:rsidRPr="005F6106">
        <w:rPr>
          <w:rFonts w:ascii="Arial" w:hAnsi="Arial" w:cs="Arial"/>
          <w:sz w:val="24"/>
        </w:rPr>
        <w:t>Políticas de equidad de género</w:t>
      </w:r>
    </w:p>
    <w:p w:rsidR="00613688" w:rsidRPr="005F6106" w:rsidRDefault="00613688" w:rsidP="00613688">
      <w:pPr>
        <w:pStyle w:val="Puesto1"/>
        <w:spacing w:before="100" w:beforeAutospacing="1" w:after="100" w:afterAutospacing="1"/>
        <w:ind w:right="-91"/>
        <w:rPr>
          <w:rFonts w:ascii="Arial" w:hAnsi="Arial" w:cs="Arial"/>
          <w:b w:val="0"/>
          <w:sz w:val="24"/>
        </w:rPr>
      </w:pPr>
      <w:r w:rsidRPr="005F6106">
        <w:rPr>
          <w:rFonts w:ascii="Arial" w:hAnsi="Arial" w:cs="Arial"/>
          <w:b w:val="0"/>
          <w:sz w:val="24"/>
        </w:rPr>
        <w:t>La Auditoría Superior de la Ciudad de México (ASCM), cuenta con</w:t>
      </w:r>
      <w:r>
        <w:rPr>
          <w:rFonts w:ascii="Arial" w:hAnsi="Arial" w:cs="Arial"/>
          <w:b w:val="0"/>
          <w:sz w:val="24"/>
        </w:rPr>
        <w:t xml:space="preserve"> los</w:t>
      </w:r>
      <w:r w:rsidRPr="005F6106">
        <w:rPr>
          <w:rFonts w:ascii="Arial" w:hAnsi="Arial" w:cs="Arial"/>
          <w:b w:val="0"/>
          <w:sz w:val="24"/>
        </w:rPr>
        <w:t xml:space="preserve"> </w:t>
      </w:r>
      <w:r w:rsidRPr="005F6106">
        <w:rPr>
          <w:rFonts w:ascii="Arial" w:hAnsi="Arial" w:cs="Arial"/>
          <w:sz w:val="24"/>
        </w:rPr>
        <w:t>Lineamientos de Equidad de Género, Fomento a la Igualdad y no Discriminación</w:t>
      </w:r>
      <w:r w:rsidRPr="005F6106">
        <w:rPr>
          <w:rFonts w:ascii="Arial" w:hAnsi="Arial" w:cs="Arial"/>
          <w:b w:val="0"/>
          <w:sz w:val="24"/>
        </w:rPr>
        <w:t xml:space="preserve">, mediante los cuales se establecen las siguientes políticas </w:t>
      </w:r>
      <w:r>
        <w:rPr>
          <w:rFonts w:ascii="Arial" w:hAnsi="Arial" w:cs="Arial"/>
          <w:b w:val="0"/>
          <w:sz w:val="24"/>
        </w:rPr>
        <w:t xml:space="preserve">institucionales en materia </w:t>
      </w:r>
      <w:r w:rsidRPr="005F6106">
        <w:rPr>
          <w:rFonts w:ascii="Arial" w:hAnsi="Arial" w:cs="Arial"/>
          <w:b w:val="0"/>
          <w:sz w:val="24"/>
        </w:rPr>
        <w:t>de género:</w:t>
      </w:r>
    </w:p>
    <w:p w:rsidR="00613688" w:rsidRPr="005F6106" w:rsidRDefault="00613688" w:rsidP="00613688">
      <w:pPr>
        <w:pStyle w:val="Puesto1"/>
        <w:numPr>
          <w:ilvl w:val="0"/>
          <w:numId w:val="2"/>
        </w:numPr>
        <w:spacing w:before="100" w:beforeAutospacing="1" w:after="100" w:afterAutospacing="1"/>
        <w:ind w:right="-91"/>
        <w:rPr>
          <w:rFonts w:ascii="Arial" w:hAnsi="Arial" w:cs="Arial"/>
          <w:b w:val="0"/>
          <w:sz w:val="24"/>
        </w:rPr>
      </w:pPr>
      <w:r w:rsidRPr="005F6106">
        <w:rPr>
          <w:rFonts w:ascii="Arial" w:hAnsi="Arial" w:cs="Arial"/>
          <w:b w:val="0"/>
          <w:sz w:val="24"/>
        </w:rPr>
        <w:t>La Coordinación del Servicio Profesional y Desarrollo Institucional, anualmente contempla en su programa de capacitación, la impartición de temas relacionados con la Igualdad Laboral y No Discriminación, equidad de género, y prevención de violencia hacia las mujeres, con la finalidad de que el personal, incorpore la perspectiva de género en su quehacer institucional.</w:t>
      </w:r>
    </w:p>
    <w:p w:rsidR="00613688" w:rsidRPr="005F6106" w:rsidRDefault="00613688" w:rsidP="00613688">
      <w:pPr>
        <w:pStyle w:val="Puesto1"/>
        <w:numPr>
          <w:ilvl w:val="0"/>
          <w:numId w:val="2"/>
        </w:numPr>
        <w:spacing w:before="100" w:beforeAutospacing="1" w:after="100" w:afterAutospacing="1"/>
        <w:ind w:right="-91"/>
        <w:rPr>
          <w:rFonts w:ascii="Arial" w:hAnsi="Arial" w:cs="Arial"/>
          <w:b w:val="0"/>
          <w:sz w:val="24"/>
        </w:rPr>
      </w:pPr>
      <w:r w:rsidRPr="005F6106">
        <w:rPr>
          <w:rFonts w:ascii="Arial" w:hAnsi="Arial" w:cs="Arial"/>
          <w:b w:val="0"/>
          <w:sz w:val="24"/>
        </w:rPr>
        <w:t xml:space="preserve">Se cuenta con la figura de enlaces de equidad de género y no discriminación, </w:t>
      </w:r>
      <w:r>
        <w:rPr>
          <w:rFonts w:ascii="Arial" w:hAnsi="Arial" w:cs="Arial"/>
          <w:b w:val="0"/>
          <w:sz w:val="24"/>
        </w:rPr>
        <w:t>q</w:t>
      </w:r>
      <w:r w:rsidRPr="005F6106">
        <w:rPr>
          <w:rFonts w:ascii="Arial" w:hAnsi="Arial" w:cs="Arial"/>
          <w:b w:val="0"/>
          <w:sz w:val="24"/>
        </w:rPr>
        <w:t>uienes asesoran y apoyan al personal en esta materia.</w:t>
      </w:r>
    </w:p>
    <w:p w:rsidR="00613688" w:rsidRPr="005F6106" w:rsidRDefault="00613688" w:rsidP="00613688">
      <w:pPr>
        <w:pStyle w:val="Puesto1"/>
        <w:numPr>
          <w:ilvl w:val="0"/>
          <w:numId w:val="2"/>
        </w:numPr>
        <w:spacing w:before="100" w:beforeAutospacing="1" w:after="100" w:afterAutospacing="1"/>
        <w:ind w:right="-91"/>
        <w:rPr>
          <w:rFonts w:ascii="Arial" w:hAnsi="Arial" w:cs="Arial"/>
          <w:b w:val="0"/>
          <w:sz w:val="24"/>
        </w:rPr>
      </w:pPr>
      <w:r w:rsidRPr="005F6106">
        <w:rPr>
          <w:rFonts w:ascii="Arial" w:hAnsi="Arial" w:cs="Arial"/>
          <w:b w:val="0"/>
          <w:sz w:val="24"/>
        </w:rPr>
        <w:t>Se organizan campañas que favorecen la equidad de género y no discriminación, por medio de comunicación gráfica, y publicaciones en la intranet; o por cualquier otro medio que se considere viable.</w:t>
      </w:r>
    </w:p>
    <w:p w:rsidR="00613688" w:rsidRPr="005F6106" w:rsidRDefault="00613688" w:rsidP="00613688">
      <w:pPr>
        <w:pStyle w:val="Puesto1"/>
        <w:numPr>
          <w:ilvl w:val="0"/>
          <w:numId w:val="2"/>
        </w:numPr>
        <w:spacing w:before="100" w:beforeAutospacing="1" w:after="100" w:afterAutospacing="1"/>
        <w:ind w:right="-91"/>
        <w:rPr>
          <w:rFonts w:ascii="Arial" w:hAnsi="Arial" w:cs="Arial"/>
          <w:b w:val="0"/>
          <w:sz w:val="24"/>
        </w:rPr>
      </w:pPr>
      <w:r w:rsidRPr="005F6106">
        <w:rPr>
          <w:rFonts w:ascii="Arial" w:hAnsi="Arial" w:cs="Arial"/>
          <w:b w:val="0"/>
          <w:sz w:val="24"/>
        </w:rPr>
        <w:t>Se garantiza la igualdad de oportunidades y la no discriminación, en el proceso de reclutamiento y selección de personal, para lo cual las personas que participen para un puesto serán evaluadas de la misma forma, con criterios definidos.</w:t>
      </w:r>
    </w:p>
    <w:p w:rsidR="00613688" w:rsidRPr="005F6106" w:rsidRDefault="00613688" w:rsidP="00613688">
      <w:pPr>
        <w:pStyle w:val="Puesto1"/>
        <w:numPr>
          <w:ilvl w:val="0"/>
          <w:numId w:val="2"/>
        </w:numPr>
        <w:spacing w:before="100" w:beforeAutospacing="1" w:after="100" w:afterAutospacing="1"/>
        <w:ind w:right="-91"/>
        <w:rPr>
          <w:rFonts w:ascii="Arial" w:hAnsi="Arial" w:cs="Arial"/>
          <w:b w:val="0"/>
          <w:sz w:val="24"/>
        </w:rPr>
      </w:pPr>
      <w:r w:rsidRPr="005F6106">
        <w:rPr>
          <w:rFonts w:ascii="Arial" w:hAnsi="Arial" w:cs="Arial"/>
          <w:b w:val="0"/>
          <w:sz w:val="24"/>
        </w:rPr>
        <w:t>Se concilia la vida laboral y familiar mediante acciones que coadyuvan a una adecuada articulación entre las obligaciones familiares y una efectiva posibilidad de ejercer el derecho al trabajo, tales como:</w:t>
      </w:r>
    </w:p>
    <w:p w:rsidR="00613688" w:rsidRPr="005F6106" w:rsidRDefault="00613688" w:rsidP="00613688">
      <w:pPr>
        <w:pStyle w:val="Puesto1"/>
        <w:numPr>
          <w:ilvl w:val="0"/>
          <w:numId w:val="1"/>
        </w:numPr>
        <w:spacing w:before="100" w:beforeAutospacing="1" w:after="100" w:afterAutospacing="1"/>
        <w:ind w:left="1276" w:right="-91"/>
        <w:rPr>
          <w:rFonts w:ascii="Arial" w:hAnsi="Arial" w:cs="Arial"/>
          <w:b w:val="0"/>
          <w:sz w:val="24"/>
        </w:rPr>
      </w:pPr>
      <w:r w:rsidRPr="005F6106">
        <w:rPr>
          <w:rFonts w:ascii="Arial" w:hAnsi="Arial" w:cs="Arial"/>
          <w:b w:val="0"/>
          <w:sz w:val="24"/>
        </w:rPr>
        <w:t>Licencia de maternidad</w:t>
      </w:r>
      <w:r>
        <w:rPr>
          <w:rFonts w:ascii="Arial" w:hAnsi="Arial" w:cs="Arial"/>
          <w:b w:val="0"/>
          <w:sz w:val="24"/>
        </w:rPr>
        <w:t>;</w:t>
      </w:r>
    </w:p>
    <w:p w:rsidR="00613688" w:rsidRPr="005F6106" w:rsidRDefault="00613688" w:rsidP="00613688">
      <w:pPr>
        <w:pStyle w:val="Puesto1"/>
        <w:numPr>
          <w:ilvl w:val="0"/>
          <w:numId w:val="1"/>
        </w:numPr>
        <w:spacing w:before="100" w:beforeAutospacing="1" w:after="100" w:afterAutospacing="1"/>
        <w:ind w:left="1276" w:right="-91"/>
        <w:rPr>
          <w:rFonts w:ascii="Arial" w:hAnsi="Arial" w:cs="Arial"/>
          <w:b w:val="0"/>
          <w:sz w:val="24"/>
        </w:rPr>
      </w:pPr>
      <w:r w:rsidRPr="005F6106">
        <w:rPr>
          <w:rFonts w:ascii="Arial" w:hAnsi="Arial" w:cs="Arial"/>
          <w:b w:val="0"/>
          <w:sz w:val="24"/>
        </w:rPr>
        <w:lastRenderedPageBreak/>
        <w:t>Derecho de paternidad, permiso para los padres por nacimiento de hijo(a) y de igual manera en el caso de adopción de un infante</w:t>
      </w:r>
      <w:r>
        <w:rPr>
          <w:rFonts w:ascii="Arial" w:hAnsi="Arial" w:cs="Arial"/>
          <w:b w:val="0"/>
          <w:sz w:val="24"/>
        </w:rPr>
        <w:t>;</w:t>
      </w:r>
    </w:p>
    <w:p w:rsidR="00613688" w:rsidRPr="005F6106" w:rsidRDefault="00613688" w:rsidP="00613688">
      <w:pPr>
        <w:pStyle w:val="Puesto1"/>
        <w:numPr>
          <w:ilvl w:val="0"/>
          <w:numId w:val="1"/>
        </w:numPr>
        <w:spacing w:before="100" w:beforeAutospacing="1" w:after="100" w:afterAutospacing="1"/>
        <w:ind w:left="1276" w:right="-91"/>
        <w:rPr>
          <w:rFonts w:ascii="Arial" w:hAnsi="Arial" w:cs="Arial"/>
          <w:b w:val="0"/>
          <w:sz w:val="24"/>
        </w:rPr>
      </w:pPr>
      <w:r w:rsidRPr="005F6106">
        <w:rPr>
          <w:rFonts w:ascii="Arial" w:hAnsi="Arial" w:cs="Arial"/>
          <w:b w:val="0"/>
          <w:sz w:val="24"/>
        </w:rPr>
        <w:t>Día de la Madre</w:t>
      </w:r>
      <w:r>
        <w:rPr>
          <w:rFonts w:ascii="Arial" w:hAnsi="Arial" w:cs="Arial"/>
          <w:b w:val="0"/>
          <w:sz w:val="24"/>
        </w:rPr>
        <w:t>; y,</w:t>
      </w:r>
    </w:p>
    <w:p w:rsidR="00613688" w:rsidRDefault="00613688" w:rsidP="00613688">
      <w:pPr>
        <w:pStyle w:val="Puesto1"/>
        <w:numPr>
          <w:ilvl w:val="0"/>
          <w:numId w:val="1"/>
        </w:numPr>
        <w:spacing w:before="100" w:beforeAutospacing="1" w:after="100" w:afterAutospacing="1"/>
        <w:ind w:left="1276" w:right="-91"/>
        <w:rPr>
          <w:rFonts w:ascii="Arial" w:hAnsi="Arial" w:cs="Arial"/>
          <w:b w:val="0"/>
          <w:sz w:val="24"/>
        </w:rPr>
      </w:pPr>
      <w:r w:rsidRPr="005F6106">
        <w:rPr>
          <w:rFonts w:ascii="Arial" w:hAnsi="Arial" w:cs="Arial"/>
          <w:b w:val="0"/>
          <w:sz w:val="24"/>
        </w:rPr>
        <w:t>Día del Padre</w:t>
      </w:r>
      <w:r>
        <w:rPr>
          <w:rFonts w:ascii="Arial" w:hAnsi="Arial" w:cs="Arial"/>
          <w:b w:val="0"/>
          <w:sz w:val="24"/>
        </w:rPr>
        <w:t>.</w:t>
      </w:r>
    </w:p>
    <w:p w:rsidR="00613688" w:rsidRPr="000045A9" w:rsidRDefault="00613688" w:rsidP="00613688">
      <w:pPr>
        <w:pStyle w:val="Puesto1"/>
        <w:spacing w:before="100" w:beforeAutospacing="1" w:after="100" w:afterAutospacing="1"/>
        <w:ind w:right="-91"/>
        <w:rPr>
          <w:rFonts w:ascii="Arial" w:hAnsi="Arial" w:cs="Arial"/>
          <w:b w:val="0"/>
          <w:sz w:val="24"/>
        </w:rPr>
      </w:pPr>
      <w:r w:rsidRPr="000045A9">
        <w:rPr>
          <w:rFonts w:ascii="Arial" w:hAnsi="Arial" w:cs="Arial"/>
          <w:b w:val="0"/>
          <w:sz w:val="24"/>
        </w:rPr>
        <w:t>Se puede consultar dicha normativa en la página web institucional: www.ascm.gob.mx ingresando al apartado de TRANSPARENCIA, posteriormente selecciona el Artículo 121, Fracción I. Marco Normativo.</w:t>
      </w:r>
    </w:p>
    <w:p w:rsidR="00613688" w:rsidRDefault="00CE10C2" w:rsidP="00613688">
      <w:pPr>
        <w:pStyle w:val="Puesto1"/>
        <w:spacing w:before="100" w:beforeAutospacing="1" w:after="100" w:afterAutospacing="1"/>
        <w:ind w:right="-91"/>
        <w:rPr>
          <w:rFonts w:ascii="Arial" w:hAnsi="Arial" w:cs="Arial"/>
          <w:b w:val="0"/>
          <w:sz w:val="24"/>
        </w:rPr>
      </w:pPr>
      <w:hyperlink r:id="rId11" w:history="1">
        <w:r w:rsidR="00613688" w:rsidRPr="008D5AC8">
          <w:rPr>
            <w:rStyle w:val="Hipervnculo"/>
            <w:rFonts w:ascii="Arial" w:hAnsi="Arial" w:cs="Arial"/>
            <w:b w:val="0"/>
            <w:sz w:val="24"/>
          </w:rPr>
          <w:t>http://www.ascm.gob.mx/Sitio/Transparencia.php</w:t>
        </w:r>
      </w:hyperlink>
    </w:p>
    <w:p w:rsidR="00613688" w:rsidRPr="00D83C3B" w:rsidRDefault="00613688" w:rsidP="00613688">
      <w:pPr>
        <w:pStyle w:val="Puesto1"/>
        <w:spacing w:before="100" w:beforeAutospacing="1" w:after="100" w:afterAutospacing="1"/>
        <w:ind w:right="-91"/>
        <w:rPr>
          <w:rFonts w:ascii="Arial" w:hAnsi="Arial" w:cs="Arial"/>
          <w:sz w:val="24"/>
        </w:rPr>
      </w:pPr>
      <w:r w:rsidRPr="00D83C3B">
        <w:rPr>
          <w:rFonts w:ascii="Arial" w:hAnsi="Arial" w:cs="Arial"/>
          <w:sz w:val="24"/>
        </w:rPr>
        <w:t>Cursos (Normativa Internacional de Fiscalización, Programa de Desarrollo Institucional)</w:t>
      </w:r>
    </w:p>
    <w:p w:rsidR="00613688" w:rsidRPr="00D83C3B" w:rsidRDefault="00613688" w:rsidP="00613688">
      <w:pPr>
        <w:pStyle w:val="Puesto1"/>
        <w:spacing w:before="100" w:beforeAutospacing="1" w:after="100" w:afterAutospacing="1"/>
        <w:ind w:right="-91"/>
        <w:rPr>
          <w:rFonts w:ascii="Arial" w:hAnsi="Arial" w:cs="Arial"/>
          <w:b w:val="0"/>
          <w:sz w:val="24"/>
        </w:rPr>
      </w:pPr>
      <w:r w:rsidRPr="00D83C3B">
        <w:rPr>
          <w:rFonts w:ascii="Arial" w:hAnsi="Arial" w:cs="Arial"/>
          <w:b w:val="0"/>
          <w:sz w:val="24"/>
        </w:rPr>
        <w:t>Con base en el artículo 62 de la Constitución Política de la Ciudad de México, la única actividad sustantiva de la misma es la de fiscalizar la cuenta pública del Gobierno de la Ciudad de México; por lo que dentro de sus funciones no se encuentra realizar cursos de capacitación en normativa internacional de fiscalización.</w:t>
      </w:r>
    </w:p>
    <w:p w:rsidR="00613688" w:rsidRDefault="00613688" w:rsidP="00613688">
      <w:pPr>
        <w:pStyle w:val="Puesto1"/>
        <w:spacing w:before="100" w:beforeAutospacing="1" w:after="100" w:afterAutospacing="1"/>
        <w:ind w:right="-91"/>
        <w:rPr>
          <w:rFonts w:ascii="Arial" w:hAnsi="Arial" w:cs="Arial"/>
          <w:b w:val="0"/>
          <w:sz w:val="24"/>
        </w:rPr>
      </w:pPr>
      <w:r w:rsidRPr="00D83C3B">
        <w:rPr>
          <w:rFonts w:ascii="Arial" w:hAnsi="Arial" w:cs="Arial"/>
          <w:b w:val="0"/>
          <w:sz w:val="24"/>
        </w:rPr>
        <w:t xml:space="preserve">Ahora bien, este Órgano Técnico del Congreso de la Ciudad de México </w:t>
      </w:r>
      <w:r>
        <w:rPr>
          <w:rFonts w:ascii="Arial" w:hAnsi="Arial" w:cs="Arial"/>
          <w:b w:val="0"/>
          <w:sz w:val="24"/>
        </w:rPr>
        <w:t>difundió entre las personas servidoras públicas que lo integran</w:t>
      </w:r>
      <w:r w:rsidRPr="00D83C3B">
        <w:rPr>
          <w:rFonts w:ascii="Arial" w:hAnsi="Arial" w:cs="Arial"/>
          <w:b w:val="0"/>
          <w:sz w:val="24"/>
        </w:rPr>
        <w:t>, durante el año 202</w:t>
      </w:r>
      <w:r>
        <w:rPr>
          <w:rFonts w:ascii="Arial" w:hAnsi="Arial" w:cs="Arial"/>
          <w:b w:val="0"/>
          <w:sz w:val="24"/>
        </w:rPr>
        <w:t>1</w:t>
      </w:r>
      <w:r w:rsidRPr="00D83C3B">
        <w:rPr>
          <w:rFonts w:ascii="Arial" w:hAnsi="Arial" w:cs="Arial"/>
          <w:b w:val="0"/>
          <w:sz w:val="24"/>
        </w:rPr>
        <w:t>, l</w:t>
      </w:r>
      <w:r>
        <w:rPr>
          <w:rFonts w:ascii="Arial" w:hAnsi="Arial" w:cs="Arial"/>
          <w:b w:val="0"/>
          <w:sz w:val="24"/>
        </w:rPr>
        <w:t>a</w:t>
      </w:r>
      <w:r w:rsidRPr="00D83C3B">
        <w:rPr>
          <w:rFonts w:ascii="Arial" w:hAnsi="Arial" w:cs="Arial"/>
          <w:b w:val="0"/>
          <w:sz w:val="24"/>
        </w:rPr>
        <w:t xml:space="preserve">s siguientes </w:t>
      </w:r>
      <w:r>
        <w:rPr>
          <w:rFonts w:ascii="Arial" w:hAnsi="Arial" w:cs="Arial"/>
          <w:b w:val="0"/>
          <w:sz w:val="24"/>
        </w:rPr>
        <w:t>acciones de capacitación relacionadas con la materia</w:t>
      </w:r>
      <w:r w:rsidRPr="00D83C3B">
        <w:rPr>
          <w:rFonts w:ascii="Arial" w:hAnsi="Arial" w:cs="Arial"/>
          <w:b w:val="0"/>
          <w:sz w:val="24"/>
        </w:rPr>
        <w:t>:</w:t>
      </w:r>
    </w:p>
    <w:p w:rsidR="00613688" w:rsidRPr="00D83C3B" w:rsidRDefault="00613688" w:rsidP="00613688">
      <w:pPr>
        <w:pStyle w:val="Puesto1"/>
        <w:numPr>
          <w:ilvl w:val="0"/>
          <w:numId w:val="3"/>
        </w:numPr>
        <w:spacing w:before="100" w:beforeAutospacing="1" w:after="100" w:afterAutospacing="1"/>
        <w:ind w:right="-91"/>
        <w:rPr>
          <w:rFonts w:ascii="Arial" w:hAnsi="Arial" w:cs="Arial"/>
          <w:b w:val="0"/>
          <w:sz w:val="24"/>
        </w:rPr>
      </w:pPr>
      <w:r w:rsidRPr="00D83C3B">
        <w:rPr>
          <w:rFonts w:ascii="Arial" w:hAnsi="Arial" w:cs="Arial"/>
          <w:b w:val="0"/>
          <w:sz w:val="24"/>
        </w:rPr>
        <w:t>Ley General de Responsabilidades Administrativas;</w:t>
      </w:r>
    </w:p>
    <w:p w:rsidR="00613688" w:rsidRPr="00D83C3B" w:rsidRDefault="00613688" w:rsidP="00613688">
      <w:pPr>
        <w:pStyle w:val="Puesto1"/>
        <w:numPr>
          <w:ilvl w:val="0"/>
          <w:numId w:val="3"/>
        </w:numPr>
        <w:spacing w:before="100" w:beforeAutospacing="1" w:after="100" w:afterAutospacing="1"/>
        <w:ind w:right="-91"/>
        <w:rPr>
          <w:rFonts w:ascii="Arial" w:hAnsi="Arial" w:cs="Arial"/>
          <w:b w:val="0"/>
          <w:sz w:val="24"/>
        </w:rPr>
      </w:pPr>
      <w:r w:rsidRPr="00D83C3B">
        <w:rPr>
          <w:rFonts w:ascii="Arial" w:hAnsi="Arial" w:cs="Arial"/>
          <w:b w:val="0"/>
          <w:sz w:val="24"/>
        </w:rPr>
        <w:t>Ley de Disciplina Financiera;</w:t>
      </w:r>
    </w:p>
    <w:p w:rsidR="00613688" w:rsidRPr="00D83C3B" w:rsidRDefault="00613688" w:rsidP="00613688">
      <w:pPr>
        <w:pStyle w:val="Puesto1"/>
        <w:numPr>
          <w:ilvl w:val="0"/>
          <w:numId w:val="3"/>
        </w:numPr>
        <w:spacing w:before="100" w:beforeAutospacing="1" w:after="100" w:afterAutospacing="1"/>
        <w:ind w:right="-91"/>
        <w:rPr>
          <w:rFonts w:ascii="Arial" w:hAnsi="Arial" w:cs="Arial"/>
          <w:b w:val="0"/>
          <w:sz w:val="24"/>
        </w:rPr>
      </w:pPr>
      <w:r w:rsidRPr="00D83C3B">
        <w:rPr>
          <w:rFonts w:ascii="Arial" w:hAnsi="Arial" w:cs="Arial"/>
          <w:b w:val="0"/>
          <w:sz w:val="24"/>
        </w:rPr>
        <w:t>Ley de Contabilidad Gubernamental; y,</w:t>
      </w:r>
    </w:p>
    <w:p w:rsidR="00613688" w:rsidRDefault="00613688" w:rsidP="00613688">
      <w:pPr>
        <w:pStyle w:val="Puesto1"/>
        <w:numPr>
          <w:ilvl w:val="0"/>
          <w:numId w:val="3"/>
        </w:numPr>
        <w:spacing w:before="100" w:beforeAutospacing="1" w:after="100" w:afterAutospacing="1"/>
        <w:ind w:right="-91"/>
        <w:rPr>
          <w:rFonts w:ascii="Arial" w:hAnsi="Arial" w:cs="Arial"/>
          <w:b w:val="0"/>
          <w:sz w:val="24"/>
        </w:rPr>
      </w:pPr>
      <w:r w:rsidRPr="00D83C3B">
        <w:rPr>
          <w:rFonts w:ascii="Arial" w:hAnsi="Arial" w:cs="Arial"/>
          <w:b w:val="0"/>
          <w:sz w:val="24"/>
        </w:rPr>
        <w:t>Normas Profesionales de Auditoría del Sistema Nacional de Fiscalización</w:t>
      </w:r>
      <w:r>
        <w:rPr>
          <w:rFonts w:ascii="Arial" w:hAnsi="Arial" w:cs="Arial"/>
          <w:b w:val="0"/>
          <w:sz w:val="24"/>
        </w:rPr>
        <w:t>.</w:t>
      </w:r>
    </w:p>
    <w:p w:rsidR="00613688" w:rsidRDefault="00613688" w:rsidP="00613688">
      <w:pPr>
        <w:pStyle w:val="Puesto1"/>
        <w:spacing w:before="100" w:beforeAutospacing="1" w:after="100" w:afterAutospacing="1"/>
        <w:ind w:right="-91"/>
        <w:rPr>
          <w:rFonts w:ascii="Arial" w:hAnsi="Arial" w:cs="Arial"/>
          <w:b w:val="0"/>
          <w:sz w:val="24"/>
        </w:rPr>
      </w:pPr>
      <w:r>
        <w:rPr>
          <w:rFonts w:ascii="Arial" w:hAnsi="Arial" w:cs="Arial"/>
          <w:b w:val="0"/>
          <w:sz w:val="24"/>
        </w:rPr>
        <w:t>Por lo que respecta al Programa de Desarrollo Institucional, éste se presentó a la Dirección General de Administración y Sistemas (ahora Dirección General de Administración) mediante el oficio CSPDI/21/0086.</w:t>
      </w:r>
    </w:p>
    <w:p w:rsidR="00613688" w:rsidRPr="00613688" w:rsidRDefault="00613688" w:rsidP="00613688">
      <w:pPr>
        <w:pStyle w:val="Puesto1"/>
        <w:spacing w:before="100" w:beforeAutospacing="1" w:after="100" w:afterAutospacing="1"/>
        <w:ind w:right="-91"/>
        <w:rPr>
          <w:rFonts w:ascii="Arial" w:hAnsi="Arial" w:cs="Arial"/>
          <w:sz w:val="24"/>
        </w:rPr>
      </w:pPr>
      <w:r w:rsidRPr="00613688">
        <w:rPr>
          <w:rFonts w:ascii="Arial" w:hAnsi="Arial" w:cs="Arial"/>
          <w:sz w:val="24"/>
        </w:rPr>
        <w:t>Plazas vacantes, formas de ingreso a la ASCM, proceso de reclutamiento, concursos para ocupar vacantes, controles para evitar actividades proselitistas.</w:t>
      </w:r>
    </w:p>
    <w:p w:rsidR="00613688" w:rsidRPr="00613688" w:rsidRDefault="00613688" w:rsidP="00A0222F">
      <w:pPr>
        <w:pStyle w:val="Puesto1"/>
        <w:spacing w:before="100" w:beforeAutospacing="1" w:after="0"/>
        <w:ind w:right="-91"/>
        <w:rPr>
          <w:rFonts w:ascii="Arial" w:hAnsi="Arial" w:cs="Arial"/>
          <w:b w:val="0"/>
          <w:sz w:val="24"/>
        </w:rPr>
      </w:pPr>
      <w:r>
        <w:rPr>
          <w:rFonts w:ascii="Arial" w:hAnsi="Arial" w:cs="Arial"/>
          <w:b w:val="0"/>
          <w:sz w:val="24"/>
        </w:rPr>
        <w:t>L</w:t>
      </w:r>
      <w:r w:rsidRPr="00613688">
        <w:rPr>
          <w:rFonts w:ascii="Arial" w:hAnsi="Arial" w:cs="Arial"/>
          <w:b w:val="0"/>
          <w:sz w:val="24"/>
        </w:rPr>
        <w:t xml:space="preserve">a información de oficio se actualiza de manera trimestral de conformidad con </w:t>
      </w:r>
      <w:r>
        <w:rPr>
          <w:rFonts w:ascii="Arial" w:hAnsi="Arial" w:cs="Arial"/>
          <w:b w:val="0"/>
          <w:sz w:val="24"/>
        </w:rPr>
        <w:t>normatividad aplicable</w:t>
      </w:r>
      <w:r w:rsidRPr="00613688">
        <w:rPr>
          <w:rFonts w:ascii="Arial" w:hAnsi="Arial" w:cs="Arial"/>
          <w:b w:val="0"/>
          <w:sz w:val="24"/>
        </w:rPr>
        <w:t xml:space="preserve">, </w:t>
      </w:r>
      <w:r>
        <w:rPr>
          <w:rFonts w:ascii="Arial" w:hAnsi="Arial" w:cs="Arial"/>
          <w:b w:val="0"/>
          <w:sz w:val="24"/>
        </w:rPr>
        <w:t>y se encuentra disponible para consulta en el</w:t>
      </w:r>
      <w:r w:rsidRPr="00613688">
        <w:rPr>
          <w:rFonts w:ascii="Arial" w:hAnsi="Arial" w:cs="Arial"/>
          <w:b w:val="0"/>
          <w:sz w:val="24"/>
        </w:rPr>
        <w:t xml:space="preserve"> portal de Transparencia de la Auditoría Superior de la Ciudad de México, en el link</w:t>
      </w:r>
      <w:r w:rsidR="00A0222F">
        <w:rPr>
          <w:rFonts w:ascii="Arial" w:hAnsi="Arial" w:cs="Arial"/>
          <w:b w:val="0"/>
          <w:sz w:val="24"/>
        </w:rPr>
        <w:t>:</w:t>
      </w:r>
      <w:r w:rsidRPr="00613688">
        <w:rPr>
          <w:rFonts w:ascii="Arial" w:hAnsi="Arial" w:cs="Arial"/>
          <w:b w:val="0"/>
          <w:sz w:val="24"/>
        </w:rPr>
        <w:t xml:space="preserve"> http://www.ascm.gob.mx/Sitio/Transparencia.php Artículo 121, Fracción XI (PLAZAS VACANTES)</w:t>
      </w:r>
      <w:r>
        <w:rPr>
          <w:rFonts w:ascii="Arial" w:hAnsi="Arial" w:cs="Arial"/>
          <w:b w:val="0"/>
          <w:sz w:val="24"/>
        </w:rPr>
        <w:t>.</w:t>
      </w:r>
    </w:p>
    <w:p w:rsidR="00613688" w:rsidRPr="00613688" w:rsidRDefault="005C3F6C" w:rsidP="00613688">
      <w:pPr>
        <w:pStyle w:val="Puesto1"/>
        <w:spacing w:before="100" w:beforeAutospacing="1" w:after="100" w:afterAutospacing="1"/>
        <w:ind w:right="-91"/>
        <w:rPr>
          <w:rFonts w:ascii="Arial" w:hAnsi="Arial" w:cs="Arial"/>
          <w:b w:val="0"/>
          <w:sz w:val="24"/>
        </w:rPr>
      </w:pPr>
      <w:r>
        <w:rPr>
          <w:rFonts w:ascii="Arial" w:hAnsi="Arial" w:cs="Arial"/>
          <w:b w:val="0"/>
          <w:sz w:val="24"/>
        </w:rPr>
        <w:t>L</w:t>
      </w:r>
      <w:r w:rsidR="00613688" w:rsidRPr="00613688">
        <w:rPr>
          <w:rFonts w:ascii="Arial" w:hAnsi="Arial" w:cs="Arial"/>
          <w:b w:val="0"/>
          <w:sz w:val="24"/>
        </w:rPr>
        <w:t>os medios para entregar C</w:t>
      </w:r>
      <w:r>
        <w:rPr>
          <w:rFonts w:ascii="Arial" w:hAnsi="Arial" w:cs="Arial"/>
          <w:b w:val="0"/>
          <w:sz w:val="24"/>
        </w:rPr>
        <w:t xml:space="preserve">urriculum </w:t>
      </w:r>
      <w:r w:rsidR="00613688" w:rsidRPr="00613688">
        <w:rPr>
          <w:rFonts w:ascii="Arial" w:hAnsi="Arial" w:cs="Arial"/>
          <w:b w:val="0"/>
          <w:sz w:val="24"/>
        </w:rPr>
        <w:t>V</w:t>
      </w:r>
      <w:r>
        <w:rPr>
          <w:rFonts w:ascii="Arial" w:hAnsi="Arial" w:cs="Arial"/>
          <w:b w:val="0"/>
          <w:sz w:val="24"/>
        </w:rPr>
        <w:t>itae</w:t>
      </w:r>
      <w:r w:rsidR="00613688" w:rsidRPr="00613688">
        <w:rPr>
          <w:rFonts w:ascii="Arial" w:hAnsi="Arial" w:cs="Arial"/>
          <w:b w:val="0"/>
          <w:sz w:val="24"/>
        </w:rPr>
        <w:t xml:space="preserve"> son, a través del correo electrónico: </w:t>
      </w:r>
      <w:hyperlink r:id="rId12" w:history="1">
        <w:r w:rsidR="00613688" w:rsidRPr="00613688">
          <w:rPr>
            <w:b w:val="0"/>
          </w:rPr>
          <w:t>reclutamiento@ascm.gob.mx</w:t>
        </w:r>
      </w:hyperlink>
      <w:r w:rsidR="00613688" w:rsidRPr="00613688">
        <w:rPr>
          <w:rFonts w:ascii="Arial" w:hAnsi="Arial" w:cs="Arial"/>
          <w:b w:val="0"/>
          <w:sz w:val="24"/>
        </w:rPr>
        <w:t xml:space="preserve">  o de manera física en las oficinas ubicadas en Av. 20 de noviembre No. 700 Col. Huichapan, Barrio San Marcos. C.P. 16050, Alcaldía Xochimilco, Ciudad de México, en el horario de 10:00 a 16:00 horas, </w:t>
      </w:r>
      <w:r>
        <w:rPr>
          <w:rFonts w:ascii="Arial" w:hAnsi="Arial" w:cs="Arial"/>
          <w:b w:val="0"/>
          <w:sz w:val="24"/>
        </w:rPr>
        <w:t>l</w:t>
      </w:r>
      <w:r w:rsidR="00613688" w:rsidRPr="00613688">
        <w:rPr>
          <w:rFonts w:ascii="Arial" w:hAnsi="Arial" w:cs="Arial"/>
          <w:b w:val="0"/>
          <w:sz w:val="24"/>
        </w:rPr>
        <w:t>os currículums recibidos se integran a una cartera de prospectos la cual tiene una vigencia de seis meses.</w:t>
      </w:r>
    </w:p>
    <w:p w:rsidR="00613688" w:rsidRPr="00613688" w:rsidRDefault="005C3F6C" w:rsidP="00613688">
      <w:pPr>
        <w:pStyle w:val="Puesto1"/>
        <w:spacing w:before="100" w:beforeAutospacing="1" w:after="100" w:afterAutospacing="1"/>
        <w:ind w:right="-91"/>
        <w:rPr>
          <w:rFonts w:ascii="Arial" w:hAnsi="Arial" w:cs="Arial"/>
          <w:b w:val="0"/>
          <w:sz w:val="24"/>
        </w:rPr>
      </w:pPr>
      <w:r>
        <w:rPr>
          <w:rFonts w:ascii="Arial" w:hAnsi="Arial" w:cs="Arial"/>
          <w:b w:val="0"/>
          <w:sz w:val="24"/>
        </w:rPr>
        <w:lastRenderedPageBreak/>
        <w:t>Respecto a</w:t>
      </w:r>
      <w:r w:rsidR="00613688" w:rsidRPr="00613688">
        <w:rPr>
          <w:rFonts w:ascii="Arial" w:hAnsi="Arial" w:cs="Arial"/>
          <w:b w:val="0"/>
          <w:sz w:val="24"/>
        </w:rPr>
        <w:t xml:space="preserve"> los concursos para ocupar vacantes, </w:t>
      </w:r>
      <w:r w:rsidR="00860822">
        <w:rPr>
          <w:rFonts w:ascii="Arial" w:hAnsi="Arial" w:cs="Arial"/>
          <w:b w:val="0"/>
          <w:sz w:val="24"/>
        </w:rPr>
        <w:t>esta información se</w:t>
      </w:r>
      <w:r w:rsidR="00613688" w:rsidRPr="00613688">
        <w:rPr>
          <w:rFonts w:ascii="Arial" w:hAnsi="Arial" w:cs="Arial"/>
          <w:b w:val="0"/>
          <w:sz w:val="24"/>
        </w:rPr>
        <w:t xml:space="preserve"> encuentra </w:t>
      </w:r>
      <w:r w:rsidR="00613688">
        <w:rPr>
          <w:rFonts w:ascii="Arial" w:hAnsi="Arial" w:cs="Arial"/>
          <w:b w:val="0"/>
          <w:sz w:val="24"/>
        </w:rPr>
        <w:t xml:space="preserve">disponible para consulta </w:t>
      </w:r>
      <w:r w:rsidR="00613688" w:rsidRPr="00613688">
        <w:rPr>
          <w:rFonts w:ascii="Arial" w:hAnsi="Arial" w:cs="Arial"/>
          <w:b w:val="0"/>
          <w:sz w:val="24"/>
        </w:rPr>
        <w:t xml:space="preserve">en el Portal de Transparencia de la Auditoría Superior de la Ciudad de México, en el link </w:t>
      </w:r>
      <w:hyperlink r:id="rId13" w:history="1">
        <w:r w:rsidR="00613688" w:rsidRPr="00613688">
          <w:rPr>
            <w:b w:val="0"/>
          </w:rPr>
          <w:t>http://www.ascm.gob.mx/Sitio/Transparencia.php</w:t>
        </w:r>
      </w:hyperlink>
      <w:r w:rsidR="00613688" w:rsidRPr="00613688">
        <w:rPr>
          <w:rFonts w:ascii="Arial" w:hAnsi="Arial" w:cs="Arial"/>
          <w:b w:val="0"/>
          <w:sz w:val="24"/>
        </w:rPr>
        <w:t xml:space="preserve"> Artículo 121, Fracción XV (CONVOCATORIAS A CONCURSOS PARA OCUPAR CARGOS PÚBLICOS).</w:t>
      </w:r>
    </w:p>
    <w:p w:rsidR="00613688" w:rsidRPr="00613688" w:rsidRDefault="00613688" w:rsidP="00613688">
      <w:pPr>
        <w:pStyle w:val="Puesto1"/>
        <w:spacing w:before="100" w:beforeAutospacing="1" w:after="100" w:afterAutospacing="1"/>
        <w:ind w:right="-91"/>
        <w:rPr>
          <w:rFonts w:ascii="Arial" w:hAnsi="Arial" w:cs="Arial"/>
          <w:sz w:val="24"/>
        </w:rPr>
      </w:pPr>
      <w:r w:rsidRPr="00613688">
        <w:rPr>
          <w:rFonts w:ascii="Arial" w:hAnsi="Arial" w:cs="Arial"/>
          <w:sz w:val="24"/>
        </w:rPr>
        <w:t>Trabajadores de base y eventuales.</w:t>
      </w:r>
    </w:p>
    <w:p w:rsidR="00613688" w:rsidRPr="00613688" w:rsidRDefault="00613688" w:rsidP="00613688">
      <w:pPr>
        <w:pStyle w:val="Puesto1"/>
        <w:spacing w:before="100" w:beforeAutospacing="1" w:after="100" w:afterAutospacing="1"/>
        <w:ind w:right="-91"/>
        <w:rPr>
          <w:rFonts w:ascii="Arial" w:hAnsi="Arial" w:cs="Arial"/>
          <w:b w:val="0"/>
          <w:sz w:val="24"/>
        </w:rPr>
      </w:pPr>
      <w:r>
        <w:rPr>
          <w:rFonts w:ascii="Arial" w:hAnsi="Arial" w:cs="Arial"/>
          <w:b w:val="0"/>
          <w:sz w:val="24"/>
        </w:rPr>
        <w:t>L</w:t>
      </w:r>
      <w:r w:rsidRPr="00613688">
        <w:rPr>
          <w:rFonts w:ascii="Arial" w:hAnsi="Arial" w:cs="Arial"/>
          <w:b w:val="0"/>
          <w:sz w:val="24"/>
        </w:rPr>
        <w:t>a información de oficio se actualiza de manera trimestral de conformidad con</w:t>
      </w:r>
      <w:r>
        <w:rPr>
          <w:rFonts w:ascii="Arial" w:hAnsi="Arial" w:cs="Arial"/>
          <w:b w:val="0"/>
          <w:sz w:val="24"/>
        </w:rPr>
        <w:t xml:space="preserve"> la normatividad aplicable</w:t>
      </w:r>
      <w:r w:rsidRPr="00613688">
        <w:rPr>
          <w:rFonts w:ascii="Arial" w:hAnsi="Arial" w:cs="Arial"/>
          <w:b w:val="0"/>
          <w:sz w:val="24"/>
        </w:rPr>
        <w:t xml:space="preserve">, la cual </w:t>
      </w:r>
      <w:r>
        <w:rPr>
          <w:rFonts w:ascii="Arial" w:hAnsi="Arial" w:cs="Arial"/>
          <w:b w:val="0"/>
          <w:sz w:val="24"/>
        </w:rPr>
        <w:t>se encuentra disponible para consulta</w:t>
      </w:r>
      <w:r w:rsidRPr="00613688">
        <w:rPr>
          <w:rFonts w:ascii="Arial" w:hAnsi="Arial" w:cs="Arial"/>
          <w:b w:val="0"/>
          <w:sz w:val="24"/>
        </w:rPr>
        <w:t xml:space="preserve"> en el portal de Transparencia de la Auditoría Superior de la Ciudad de México, en el link http://www.ascm.gob.mx/Sitio/Transparencia.php Artículo 121, Fracción XI (PLAZAS VACANTES</w:t>
      </w:r>
      <w:r>
        <w:rPr>
          <w:rFonts w:ascii="Arial" w:hAnsi="Arial" w:cs="Arial"/>
          <w:b w:val="0"/>
          <w:sz w:val="24"/>
        </w:rPr>
        <w:t>).</w:t>
      </w:r>
      <w:r w:rsidRPr="00613688">
        <w:rPr>
          <w:rFonts w:ascii="Arial" w:hAnsi="Arial" w:cs="Arial"/>
          <w:b w:val="0"/>
          <w:sz w:val="24"/>
        </w:rPr>
        <w:t xml:space="preserve"> </w:t>
      </w:r>
    </w:p>
    <w:p w:rsidR="00613688" w:rsidRPr="00613688" w:rsidRDefault="00613688" w:rsidP="00613688">
      <w:pPr>
        <w:pStyle w:val="Puesto1"/>
        <w:spacing w:before="100" w:beforeAutospacing="1" w:after="100" w:afterAutospacing="1"/>
        <w:ind w:right="-91"/>
        <w:rPr>
          <w:rFonts w:ascii="Arial" w:hAnsi="Arial" w:cs="Arial"/>
          <w:sz w:val="24"/>
        </w:rPr>
      </w:pPr>
      <w:r w:rsidRPr="00613688">
        <w:rPr>
          <w:rFonts w:ascii="Arial" w:hAnsi="Arial" w:cs="Arial"/>
          <w:sz w:val="24"/>
        </w:rPr>
        <w:t>Número de empleados, plazas, estructura, altas y bajas de personal (mayo-diciembre 2021), responsables de contratación/verificación de perfil de puesto, pago de prestaciones sindicales.</w:t>
      </w:r>
    </w:p>
    <w:p w:rsidR="00613688" w:rsidRPr="00613688" w:rsidRDefault="00613688" w:rsidP="00613688">
      <w:pPr>
        <w:pStyle w:val="Puesto1"/>
        <w:spacing w:before="100" w:beforeAutospacing="1" w:after="100" w:afterAutospacing="1"/>
        <w:ind w:right="-91"/>
        <w:rPr>
          <w:rFonts w:ascii="Arial" w:hAnsi="Arial" w:cs="Arial"/>
          <w:b w:val="0"/>
          <w:sz w:val="24"/>
        </w:rPr>
      </w:pPr>
      <w:r>
        <w:rPr>
          <w:rFonts w:ascii="Arial" w:hAnsi="Arial" w:cs="Arial"/>
          <w:b w:val="0"/>
          <w:sz w:val="24"/>
        </w:rPr>
        <w:t xml:space="preserve">Esta información </w:t>
      </w:r>
      <w:r w:rsidRPr="00613688">
        <w:rPr>
          <w:rFonts w:ascii="Arial" w:hAnsi="Arial" w:cs="Arial"/>
          <w:b w:val="0"/>
          <w:sz w:val="24"/>
        </w:rPr>
        <w:t>se actualiza de manera trimestral de conformidad con</w:t>
      </w:r>
      <w:r>
        <w:rPr>
          <w:rFonts w:ascii="Arial" w:hAnsi="Arial" w:cs="Arial"/>
          <w:b w:val="0"/>
          <w:sz w:val="24"/>
        </w:rPr>
        <w:t xml:space="preserve"> la normatividad aplicable y se encuentra disponible para consulta </w:t>
      </w:r>
      <w:r w:rsidRPr="00613688">
        <w:rPr>
          <w:rFonts w:ascii="Arial" w:hAnsi="Arial" w:cs="Arial"/>
          <w:b w:val="0"/>
          <w:sz w:val="24"/>
        </w:rPr>
        <w:t>en el portal de Transparencia de la Auditoría Superior de la Ciudad de México, en el link http://www.ascm.gob.mx/Sitio/Transparencia.php Artículo 121, Fracción IX (REMUNERACIÓN)</w:t>
      </w:r>
      <w:r w:rsidR="008E711A">
        <w:rPr>
          <w:rFonts w:ascii="Arial" w:hAnsi="Arial" w:cs="Arial"/>
          <w:b w:val="0"/>
          <w:sz w:val="24"/>
        </w:rPr>
        <w:t>.</w:t>
      </w:r>
    </w:p>
    <w:p w:rsidR="00613688" w:rsidRPr="00860822" w:rsidRDefault="00613688" w:rsidP="00613688">
      <w:pPr>
        <w:pStyle w:val="Puesto1"/>
        <w:spacing w:before="100" w:beforeAutospacing="1" w:after="100" w:afterAutospacing="1"/>
        <w:ind w:right="-91"/>
        <w:rPr>
          <w:rFonts w:ascii="Arial" w:hAnsi="Arial" w:cs="Arial"/>
          <w:sz w:val="24"/>
        </w:rPr>
      </w:pPr>
      <w:r w:rsidRPr="00860822">
        <w:rPr>
          <w:rFonts w:ascii="Arial" w:hAnsi="Arial" w:cs="Arial"/>
          <w:sz w:val="24"/>
        </w:rPr>
        <w:t>Personas contratadas por honorarios e ingreso mensual neto y bruto, controles de asistencia.</w:t>
      </w:r>
    </w:p>
    <w:p w:rsidR="00613688" w:rsidRPr="00860822" w:rsidRDefault="00860822" w:rsidP="00860822">
      <w:pPr>
        <w:rPr>
          <w:rFonts w:ascii="Arial" w:hAnsi="Arial" w:cs="Arial"/>
          <w:color w:val="212529"/>
          <w:sz w:val="24"/>
          <w:szCs w:val="24"/>
          <w:lang w:eastAsia="es-MX"/>
        </w:rPr>
      </w:pPr>
      <w:r w:rsidRPr="00860822">
        <w:rPr>
          <w:rFonts w:ascii="Arial" w:hAnsi="Arial" w:cs="Arial"/>
          <w:sz w:val="24"/>
        </w:rPr>
        <w:t>L</w:t>
      </w:r>
      <w:r w:rsidR="00613688" w:rsidRPr="00860822">
        <w:rPr>
          <w:rFonts w:ascii="Arial" w:hAnsi="Arial" w:cs="Arial"/>
          <w:sz w:val="24"/>
        </w:rPr>
        <w:t>a información de oficio se actualiza de manera trimestral de conformidad con</w:t>
      </w:r>
      <w:r w:rsidRPr="00860822">
        <w:rPr>
          <w:rFonts w:ascii="Arial" w:hAnsi="Arial" w:cs="Arial"/>
          <w:sz w:val="24"/>
        </w:rPr>
        <w:t xml:space="preserve"> la normatividad aplicable</w:t>
      </w:r>
      <w:r w:rsidR="00613688" w:rsidRPr="00860822">
        <w:rPr>
          <w:rFonts w:ascii="Arial" w:hAnsi="Arial" w:cs="Arial"/>
          <w:sz w:val="24"/>
        </w:rPr>
        <w:t>,</w:t>
      </w:r>
      <w:r w:rsidRPr="00860822">
        <w:rPr>
          <w:rFonts w:ascii="Arial" w:hAnsi="Arial" w:cs="Arial"/>
          <w:sz w:val="24"/>
        </w:rPr>
        <w:t xml:space="preserve"> y se encuentra disponible para consulta</w:t>
      </w:r>
      <w:r w:rsidR="00613688" w:rsidRPr="00860822">
        <w:rPr>
          <w:rFonts w:ascii="Arial" w:hAnsi="Arial" w:cs="Arial"/>
          <w:sz w:val="24"/>
        </w:rPr>
        <w:t xml:space="preserve"> en el portal de Transparencia de la Auditoría Superior de la Ciudad de México, en el link http://www.ascm.gob.mx/Sitio/Transparencia.php Artículo 121, Fracción XII (CONTRATACIONES POR HONORARIOS)</w:t>
      </w:r>
      <w:r w:rsidRPr="00860822">
        <w:rPr>
          <w:rFonts w:ascii="Arial" w:hAnsi="Arial" w:cs="Arial"/>
          <w:sz w:val="24"/>
        </w:rPr>
        <w:t>,</w:t>
      </w:r>
      <w:r>
        <w:rPr>
          <w:rFonts w:ascii="Arial" w:hAnsi="Arial" w:cs="Arial"/>
          <w:sz w:val="24"/>
        </w:rPr>
        <w:t xml:space="preserve"> </w:t>
      </w:r>
      <w:r>
        <w:rPr>
          <w:rFonts w:ascii="Arial" w:hAnsi="Arial" w:cs="Arial"/>
          <w:color w:val="212529"/>
          <w:sz w:val="24"/>
          <w:szCs w:val="24"/>
          <w:lang w:eastAsia="es-MX"/>
        </w:rPr>
        <w:t>al ser Servicios Profesionales Asimilados a Salarios no están sujetos a un horario.</w:t>
      </w:r>
    </w:p>
    <w:p w:rsidR="00613688" w:rsidRPr="00860822" w:rsidRDefault="00613688" w:rsidP="00613688">
      <w:pPr>
        <w:pStyle w:val="Puesto1"/>
        <w:spacing w:before="100" w:beforeAutospacing="1" w:after="100" w:afterAutospacing="1"/>
        <w:ind w:right="-91"/>
        <w:rPr>
          <w:rFonts w:ascii="Arial" w:hAnsi="Arial" w:cs="Arial"/>
          <w:sz w:val="24"/>
        </w:rPr>
      </w:pPr>
      <w:r w:rsidRPr="00860822">
        <w:rPr>
          <w:rFonts w:ascii="Arial" w:hAnsi="Arial" w:cs="Arial"/>
          <w:sz w:val="24"/>
        </w:rPr>
        <w:t>Tabulador Remuneraciones. Sueldos de los trabajadores.</w:t>
      </w:r>
    </w:p>
    <w:p w:rsidR="00613688" w:rsidRPr="00613688" w:rsidRDefault="00860822" w:rsidP="00613688">
      <w:pPr>
        <w:pStyle w:val="Puesto1"/>
        <w:spacing w:before="100" w:beforeAutospacing="1" w:after="100" w:afterAutospacing="1"/>
        <w:ind w:right="-91"/>
        <w:rPr>
          <w:rFonts w:ascii="Arial" w:hAnsi="Arial" w:cs="Arial"/>
          <w:b w:val="0"/>
          <w:sz w:val="24"/>
        </w:rPr>
      </w:pPr>
      <w:r>
        <w:rPr>
          <w:rFonts w:ascii="Arial" w:hAnsi="Arial" w:cs="Arial"/>
          <w:b w:val="0"/>
          <w:sz w:val="24"/>
        </w:rPr>
        <w:t>L</w:t>
      </w:r>
      <w:r w:rsidR="00613688" w:rsidRPr="00613688">
        <w:rPr>
          <w:rFonts w:ascii="Arial" w:hAnsi="Arial" w:cs="Arial"/>
          <w:b w:val="0"/>
          <w:sz w:val="24"/>
        </w:rPr>
        <w:t xml:space="preserve">a información de oficio se actualiza de manera trimestral de conformidad con </w:t>
      </w:r>
      <w:r>
        <w:rPr>
          <w:rFonts w:ascii="Arial" w:hAnsi="Arial" w:cs="Arial"/>
          <w:b w:val="0"/>
          <w:sz w:val="24"/>
        </w:rPr>
        <w:t>la normatividad aplicable</w:t>
      </w:r>
      <w:r w:rsidR="00613688" w:rsidRPr="00613688">
        <w:rPr>
          <w:rFonts w:ascii="Arial" w:hAnsi="Arial" w:cs="Arial"/>
          <w:b w:val="0"/>
          <w:sz w:val="24"/>
        </w:rPr>
        <w:t xml:space="preserve">, </w:t>
      </w:r>
      <w:r>
        <w:rPr>
          <w:rFonts w:ascii="Arial" w:hAnsi="Arial" w:cs="Arial"/>
          <w:b w:val="0"/>
          <w:sz w:val="24"/>
        </w:rPr>
        <w:t xml:space="preserve">y se encuentra disponible para consulta </w:t>
      </w:r>
      <w:r w:rsidR="00613688" w:rsidRPr="00613688">
        <w:rPr>
          <w:rFonts w:ascii="Arial" w:hAnsi="Arial" w:cs="Arial"/>
          <w:b w:val="0"/>
          <w:sz w:val="24"/>
        </w:rPr>
        <w:t>en el portal de Transparencia de la Auditoría Superior de la Ciudad de México, en el link http://www.ascm.gob.mx/Sitio/Transparencia.php Artículo 121, Fracción IX (REMUNERACIÓN)</w:t>
      </w:r>
      <w:r>
        <w:rPr>
          <w:rFonts w:ascii="Arial" w:hAnsi="Arial" w:cs="Arial"/>
          <w:b w:val="0"/>
          <w:sz w:val="24"/>
        </w:rPr>
        <w:t>.</w:t>
      </w:r>
    </w:p>
    <w:p w:rsidR="00613688" w:rsidRPr="00B02F4B" w:rsidRDefault="00B02F4B" w:rsidP="00613688">
      <w:pPr>
        <w:pStyle w:val="Puesto1"/>
        <w:spacing w:before="100" w:beforeAutospacing="1" w:after="100" w:afterAutospacing="1"/>
        <w:ind w:right="-91"/>
        <w:rPr>
          <w:rFonts w:ascii="Arial" w:hAnsi="Arial" w:cs="Arial"/>
          <w:sz w:val="24"/>
        </w:rPr>
      </w:pPr>
      <w:r w:rsidRPr="00B02F4B">
        <w:rPr>
          <w:rFonts w:ascii="Arial" w:hAnsi="Arial" w:cs="Arial"/>
          <w:sz w:val="24"/>
        </w:rPr>
        <w:t>Medidas y controles sanitarios internos para contener la propagación del virus SARS-Cov2 (COVID-19), estadística de personal contagiado.</w:t>
      </w:r>
    </w:p>
    <w:p w:rsidR="00B02F4B" w:rsidRDefault="00B02F4B" w:rsidP="00B02F4B">
      <w:pPr>
        <w:rPr>
          <w:rFonts w:ascii="Arial" w:hAnsi="Arial" w:cs="Arial"/>
          <w:color w:val="212529"/>
          <w:sz w:val="24"/>
          <w:szCs w:val="24"/>
          <w:lang w:eastAsia="es-MX"/>
        </w:rPr>
      </w:pPr>
      <w:r>
        <w:rPr>
          <w:rFonts w:ascii="Arial" w:hAnsi="Arial" w:cs="Arial"/>
          <w:color w:val="212529"/>
          <w:sz w:val="24"/>
          <w:szCs w:val="24"/>
          <w:lang w:eastAsia="es-MX"/>
        </w:rPr>
        <w:t>La Dirección General de Administración ha implementado medidas institucionales en esta Auditoría Superior para contener la propagación del virus SARS-CoV2 (COVID-19). N</w:t>
      </w:r>
      <w:r w:rsidRPr="003D46F0">
        <w:rPr>
          <w:rFonts w:ascii="Arial" w:hAnsi="Arial" w:cs="Arial"/>
          <w:color w:val="212529"/>
          <w:sz w:val="24"/>
          <w:szCs w:val="24"/>
          <w:lang w:eastAsia="es-MX"/>
        </w:rPr>
        <w:t xml:space="preserve">o se cuenta con un registro específico </w:t>
      </w:r>
      <w:r>
        <w:rPr>
          <w:rFonts w:ascii="Arial" w:hAnsi="Arial" w:cs="Arial"/>
          <w:color w:val="212529"/>
          <w:sz w:val="24"/>
          <w:szCs w:val="24"/>
          <w:lang w:eastAsia="es-MX"/>
        </w:rPr>
        <w:t>sobre el número de contagios</w:t>
      </w:r>
      <w:r w:rsidRPr="003D46F0">
        <w:rPr>
          <w:rFonts w:ascii="Arial" w:hAnsi="Arial" w:cs="Arial"/>
          <w:color w:val="212529"/>
          <w:sz w:val="24"/>
          <w:szCs w:val="24"/>
          <w:lang w:eastAsia="es-MX"/>
        </w:rPr>
        <w:t xml:space="preserve">, </w:t>
      </w:r>
      <w:r w:rsidRPr="003D46F0">
        <w:rPr>
          <w:rFonts w:ascii="Arial" w:hAnsi="Arial" w:cs="Arial"/>
          <w:color w:val="212529"/>
          <w:sz w:val="24"/>
          <w:szCs w:val="24"/>
          <w:lang w:eastAsia="es-MX"/>
        </w:rPr>
        <w:lastRenderedPageBreak/>
        <w:t xml:space="preserve">toda vez que no existe una disposición </w:t>
      </w:r>
      <w:r>
        <w:rPr>
          <w:rFonts w:ascii="Arial" w:hAnsi="Arial" w:cs="Arial"/>
          <w:color w:val="212529"/>
          <w:sz w:val="24"/>
          <w:szCs w:val="24"/>
          <w:lang w:eastAsia="es-MX"/>
        </w:rPr>
        <w:t xml:space="preserve">normativa </w:t>
      </w:r>
      <w:r w:rsidRPr="003D46F0">
        <w:rPr>
          <w:rFonts w:ascii="Arial" w:hAnsi="Arial" w:cs="Arial"/>
          <w:color w:val="212529"/>
          <w:sz w:val="24"/>
          <w:szCs w:val="24"/>
          <w:lang w:eastAsia="es-MX"/>
        </w:rPr>
        <w:t xml:space="preserve">que indique llevar el control referido. </w:t>
      </w:r>
      <w:r>
        <w:rPr>
          <w:rFonts w:ascii="Arial" w:hAnsi="Arial" w:cs="Arial"/>
          <w:color w:val="212529"/>
          <w:sz w:val="24"/>
          <w:szCs w:val="24"/>
          <w:lang w:eastAsia="es-MX"/>
        </w:rPr>
        <w:t>Se d</w:t>
      </w:r>
      <w:r w:rsidRPr="003D46F0">
        <w:rPr>
          <w:rFonts w:ascii="Arial" w:hAnsi="Arial" w:cs="Arial"/>
          <w:color w:val="212529"/>
          <w:sz w:val="24"/>
          <w:szCs w:val="24"/>
          <w:lang w:eastAsia="es-MX"/>
        </w:rPr>
        <w:t xml:space="preserve">estaca que </w:t>
      </w:r>
      <w:r>
        <w:rPr>
          <w:rFonts w:ascii="Arial" w:hAnsi="Arial" w:cs="Arial"/>
          <w:color w:val="212529"/>
          <w:sz w:val="24"/>
          <w:szCs w:val="24"/>
          <w:lang w:eastAsia="es-MX"/>
        </w:rPr>
        <w:t>se privilegió</w:t>
      </w:r>
      <w:r w:rsidRPr="003D46F0">
        <w:rPr>
          <w:rFonts w:ascii="Arial" w:hAnsi="Arial" w:cs="Arial"/>
          <w:color w:val="212529"/>
          <w:sz w:val="24"/>
          <w:szCs w:val="24"/>
          <w:lang w:eastAsia="es-MX"/>
        </w:rPr>
        <w:t xml:space="preserve"> el trabajo a distancia</w:t>
      </w:r>
      <w:r>
        <w:rPr>
          <w:rFonts w:ascii="Arial" w:hAnsi="Arial" w:cs="Arial"/>
          <w:color w:val="212529"/>
          <w:sz w:val="24"/>
          <w:szCs w:val="24"/>
          <w:lang w:eastAsia="es-MX"/>
        </w:rPr>
        <w:t>.</w:t>
      </w:r>
    </w:p>
    <w:p w:rsidR="00B02F4B" w:rsidRDefault="00B02F4B" w:rsidP="00B02F4B">
      <w:pPr>
        <w:rPr>
          <w:rFonts w:ascii="Arial" w:hAnsi="Arial" w:cs="Arial"/>
          <w:color w:val="212529"/>
          <w:sz w:val="24"/>
          <w:szCs w:val="24"/>
          <w:lang w:eastAsia="es-MX"/>
        </w:rPr>
      </w:pPr>
    </w:p>
    <w:p w:rsidR="00B54598" w:rsidRPr="00B54598" w:rsidRDefault="00B54598" w:rsidP="00B54598">
      <w:pPr>
        <w:rPr>
          <w:rFonts w:ascii="Arial" w:hAnsi="Arial" w:cs="Arial"/>
          <w:b/>
          <w:color w:val="212529"/>
          <w:sz w:val="24"/>
          <w:szCs w:val="24"/>
          <w:lang w:eastAsia="es-MX"/>
        </w:rPr>
      </w:pPr>
      <w:r w:rsidRPr="00B54598">
        <w:rPr>
          <w:rFonts w:ascii="Arial" w:hAnsi="Arial" w:cs="Arial"/>
          <w:b/>
          <w:color w:val="212529"/>
          <w:sz w:val="24"/>
          <w:szCs w:val="24"/>
          <w:lang w:eastAsia="es-MX"/>
        </w:rPr>
        <w:t>Información de contratos de prestación de servicios de limpieza.</w:t>
      </w:r>
    </w:p>
    <w:p w:rsidR="00B54598" w:rsidRPr="00B54598" w:rsidRDefault="00B54598" w:rsidP="00B54598">
      <w:pPr>
        <w:rPr>
          <w:rFonts w:ascii="Arial" w:hAnsi="Arial" w:cs="Arial"/>
          <w:color w:val="212529"/>
          <w:sz w:val="24"/>
          <w:szCs w:val="24"/>
          <w:lang w:eastAsia="es-MX"/>
        </w:rPr>
      </w:pPr>
    </w:p>
    <w:p w:rsidR="00B54598" w:rsidRPr="00B54598" w:rsidRDefault="00B54598" w:rsidP="00B54598">
      <w:pPr>
        <w:rPr>
          <w:rFonts w:ascii="Arial" w:hAnsi="Arial" w:cs="Arial"/>
          <w:color w:val="212529"/>
          <w:sz w:val="24"/>
          <w:szCs w:val="24"/>
          <w:lang w:eastAsia="es-MX"/>
        </w:rPr>
      </w:pPr>
      <w:r w:rsidRPr="00B54598">
        <w:rPr>
          <w:rFonts w:ascii="Arial" w:hAnsi="Arial" w:cs="Arial"/>
          <w:color w:val="212529"/>
          <w:sz w:val="24"/>
          <w:szCs w:val="24"/>
          <w:lang w:eastAsia="es-MX"/>
        </w:rPr>
        <w:t xml:space="preserve">Sobre los contratos celebrados por esta Auditoría Superior de la Ciudad de México, de prestación de servicios de limpieza, </w:t>
      </w:r>
      <w:r>
        <w:rPr>
          <w:rFonts w:ascii="Arial" w:hAnsi="Arial" w:cs="Arial"/>
          <w:color w:val="212529"/>
          <w:sz w:val="24"/>
          <w:szCs w:val="24"/>
          <w:lang w:eastAsia="es-MX"/>
        </w:rPr>
        <w:t xml:space="preserve">esta información </w:t>
      </w:r>
      <w:r w:rsidRPr="00B54598">
        <w:rPr>
          <w:rFonts w:ascii="Arial" w:hAnsi="Arial" w:cs="Arial"/>
          <w:color w:val="212529"/>
          <w:sz w:val="24"/>
          <w:szCs w:val="24"/>
          <w:lang w:eastAsia="es-MX"/>
        </w:rPr>
        <w:t>se encuentra publicada en  la página Web (</w:t>
      </w:r>
      <w:hyperlink r:id="rId14" w:history="1">
        <w:r w:rsidRPr="00B54598">
          <w:rPr>
            <w:rFonts w:ascii="Arial" w:hAnsi="Arial" w:cs="Arial"/>
            <w:color w:val="212529"/>
            <w:sz w:val="24"/>
            <w:szCs w:val="24"/>
            <w:lang w:eastAsia="es-MX"/>
          </w:rPr>
          <w:t>www.ascm.gob.mx</w:t>
        </w:r>
      </w:hyperlink>
      <w:r w:rsidRPr="00B54598">
        <w:rPr>
          <w:rFonts w:ascii="Arial" w:hAnsi="Arial" w:cs="Arial"/>
          <w:color w:val="212529"/>
          <w:sz w:val="24"/>
          <w:szCs w:val="24"/>
          <w:lang w:eastAsia="es-MX"/>
        </w:rPr>
        <w:t>) en el apartado de Transparencia, específicamente en el Artículo 121, fracción XXX, DESCARGA INFORMACIÓN 2021</w:t>
      </w:r>
      <w:r>
        <w:rPr>
          <w:rFonts w:ascii="Arial" w:hAnsi="Arial" w:cs="Arial"/>
          <w:color w:val="212529"/>
          <w:sz w:val="24"/>
          <w:szCs w:val="24"/>
          <w:lang w:eastAsia="es-MX"/>
        </w:rPr>
        <w:t>, en el siguiente link:</w:t>
      </w:r>
    </w:p>
    <w:p w:rsidR="00B54598" w:rsidRPr="00B54598" w:rsidRDefault="00CE10C2" w:rsidP="00B54598">
      <w:pPr>
        <w:rPr>
          <w:rFonts w:ascii="Arial" w:hAnsi="Arial" w:cs="Arial"/>
          <w:color w:val="212529"/>
          <w:sz w:val="24"/>
          <w:szCs w:val="24"/>
          <w:lang w:eastAsia="es-MX"/>
        </w:rPr>
      </w:pPr>
      <w:hyperlink r:id="rId15" w:history="1">
        <w:r w:rsidR="00B54598" w:rsidRPr="00B54598">
          <w:rPr>
            <w:rFonts w:ascii="Arial" w:hAnsi="Arial" w:cs="Arial"/>
            <w:color w:val="212529"/>
            <w:sz w:val="24"/>
            <w:szCs w:val="24"/>
            <w:lang w:eastAsia="es-MX"/>
          </w:rPr>
          <w:t>http://www.ascm.gob.mx/Transparencia/Pdfs/Art121/XXX/</w:t>
        </w:r>
      </w:hyperlink>
      <w:r w:rsidR="00B54598" w:rsidRPr="00B54598">
        <w:rPr>
          <w:rFonts w:ascii="Arial" w:hAnsi="Arial" w:cs="Arial"/>
          <w:color w:val="212529"/>
          <w:sz w:val="24"/>
          <w:szCs w:val="24"/>
          <w:lang w:eastAsia="es-MX"/>
        </w:rPr>
        <w:t>RecCont005-21.pdf</w:t>
      </w:r>
    </w:p>
    <w:p w:rsidR="00B54598" w:rsidRPr="00B54598" w:rsidRDefault="00B54598" w:rsidP="00B54598">
      <w:pPr>
        <w:pStyle w:val="Prrafodelista"/>
        <w:spacing w:after="0" w:line="240" w:lineRule="auto"/>
        <w:ind w:left="448"/>
        <w:jc w:val="both"/>
        <w:rPr>
          <w:rFonts w:ascii="Arial" w:eastAsia="Times New Roman" w:hAnsi="Arial" w:cs="Arial"/>
          <w:color w:val="212529"/>
          <w:sz w:val="24"/>
          <w:szCs w:val="24"/>
          <w:lang w:val="es-ES_tradnl" w:eastAsia="es-MX"/>
        </w:rPr>
      </w:pPr>
    </w:p>
    <w:p w:rsidR="00B54598" w:rsidRPr="00D40EDA" w:rsidRDefault="00B54598" w:rsidP="00B54598">
      <w:pPr>
        <w:rPr>
          <w:rFonts w:ascii="Arial" w:hAnsi="Arial" w:cs="Arial"/>
          <w:color w:val="212529"/>
          <w:sz w:val="24"/>
          <w:szCs w:val="24"/>
          <w:lang w:eastAsia="es-MX"/>
        </w:rPr>
      </w:pPr>
      <w:r w:rsidRPr="00D40EDA">
        <w:rPr>
          <w:rFonts w:ascii="Arial" w:hAnsi="Arial" w:cs="Arial"/>
          <w:color w:val="212529"/>
          <w:sz w:val="24"/>
          <w:szCs w:val="24"/>
          <w:lang w:eastAsia="es-MX"/>
        </w:rPr>
        <w:t>Contratos celebrados por la ASCM, procedimientos de adquisición llevados a cabo, se le comunica lo siguiente:</w:t>
      </w:r>
    </w:p>
    <w:p w:rsidR="00B54598" w:rsidRDefault="00B54598" w:rsidP="00B54598">
      <w:pPr>
        <w:rPr>
          <w:rFonts w:ascii="Arial" w:hAnsi="Arial" w:cs="Arial"/>
          <w:color w:val="212529"/>
          <w:sz w:val="24"/>
          <w:szCs w:val="24"/>
          <w:lang w:eastAsia="es-MX"/>
        </w:rPr>
      </w:pPr>
    </w:p>
    <w:p w:rsidR="00B54598" w:rsidRPr="00B54598" w:rsidRDefault="00B54598" w:rsidP="00B54598">
      <w:pPr>
        <w:rPr>
          <w:rFonts w:ascii="Arial" w:hAnsi="Arial" w:cs="Arial"/>
          <w:color w:val="212529"/>
          <w:sz w:val="24"/>
          <w:szCs w:val="24"/>
          <w:lang w:eastAsia="es-MX"/>
        </w:rPr>
      </w:pPr>
      <w:r w:rsidRPr="00B54598">
        <w:rPr>
          <w:rFonts w:ascii="Arial" w:hAnsi="Arial" w:cs="Arial"/>
          <w:color w:val="212529"/>
          <w:sz w:val="24"/>
          <w:szCs w:val="24"/>
          <w:lang w:eastAsia="es-MX"/>
        </w:rPr>
        <w:t>PROCEDIMIENTOS QUE SE LLEVARON A CABO</w:t>
      </w:r>
      <w:r>
        <w:rPr>
          <w:rFonts w:ascii="Arial" w:hAnsi="Arial" w:cs="Arial"/>
          <w:color w:val="212529"/>
          <w:sz w:val="24"/>
          <w:szCs w:val="24"/>
          <w:lang w:eastAsia="es-MX"/>
        </w:rPr>
        <w:t>:</w:t>
      </w:r>
    </w:p>
    <w:p w:rsidR="00B54598" w:rsidRDefault="00B54598" w:rsidP="00B54598">
      <w:pPr>
        <w:rPr>
          <w:rFonts w:ascii="Arial" w:hAnsi="Arial" w:cs="Arial"/>
          <w:color w:val="212529"/>
          <w:sz w:val="24"/>
          <w:szCs w:val="24"/>
          <w:lang w:eastAsia="es-MX"/>
        </w:rPr>
      </w:pPr>
    </w:p>
    <w:tbl>
      <w:tblPr>
        <w:tblStyle w:val="Tablaconcuadrcula"/>
        <w:tblW w:w="0" w:type="auto"/>
        <w:tblLook w:val="04A0" w:firstRow="1" w:lastRow="0" w:firstColumn="1" w:lastColumn="0" w:noHBand="0" w:noVBand="1"/>
      </w:tblPr>
      <w:tblGrid>
        <w:gridCol w:w="2130"/>
        <w:gridCol w:w="2173"/>
        <w:gridCol w:w="2188"/>
        <w:gridCol w:w="2337"/>
      </w:tblGrid>
      <w:tr w:rsidR="00B54598" w:rsidRPr="00B54598" w:rsidTr="002E6968">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AÑO</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LICITACIÓN PÚBLICA</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INVITACIÓN RESTRINGIDA</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ADJUDICACIÓNES DIRECTAS</w:t>
            </w:r>
          </w:p>
        </w:tc>
      </w:tr>
      <w:tr w:rsidR="00B54598" w:rsidRPr="00B54598" w:rsidTr="002E6968">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2019</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8</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1</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55</w:t>
            </w:r>
          </w:p>
        </w:tc>
      </w:tr>
      <w:tr w:rsidR="00B54598" w:rsidRPr="00B54598" w:rsidTr="002E6968">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2020</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4</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1</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31</w:t>
            </w:r>
          </w:p>
        </w:tc>
      </w:tr>
      <w:tr w:rsidR="00B54598" w:rsidRPr="00B54598" w:rsidTr="002E6968">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2021</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5</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0</w:t>
            </w:r>
          </w:p>
        </w:tc>
        <w:tc>
          <w:tcPr>
            <w:tcW w:w="220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37</w:t>
            </w:r>
          </w:p>
        </w:tc>
      </w:tr>
    </w:tbl>
    <w:p w:rsidR="00B54598" w:rsidRDefault="00B54598" w:rsidP="00B54598">
      <w:pPr>
        <w:rPr>
          <w:rFonts w:ascii="Arial" w:hAnsi="Arial" w:cs="Arial"/>
          <w:color w:val="212529"/>
          <w:sz w:val="24"/>
          <w:szCs w:val="24"/>
          <w:lang w:eastAsia="es-MX"/>
        </w:rPr>
      </w:pPr>
    </w:p>
    <w:p w:rsidR="00B54598" w:rsidRPr="00B54598" w:rsidRDefault="00B54598" w:rsidP="00B54598">
      <w:pPr>
        <w:pStyle w:val="Prrafodelista"/>
        <w:spacing w:after="0" w:line="240" w:lineRule="auto"/>
        <w:ind w:left="1080" w:hanging="938"/>
        <w:rPr>
          <w:rFonts w:ascii="Arial" w:eastAsia="Times New Roman" w:hAnsi="Arial" w:cs="Arial"/>
          <w:color w:val="212529"/>
          <w:sz w:val="24"/>
          <w:szCs w:val="24"/>
          <w:lang w:val="es-ES_tradnl" w:eastAsia="es-MX"/>
        </w:rPr>
      </w:pPr>
      <w:r w:rsidRPr="00B54598">
        <w:rPr>
          <w:rFonts w:ascii="Arial" w:eastAsia="Times New Roman" w:hAnsi="Arial" w:cs="Arial"/>
          <w:color w:val="212529"/>
          <w:sz w:val="24"/>
          <w:szCs w:val="24"/>
          <w:lang w:val="es-ES_tradnl" w:eastAsia="es-MX"/>
        </w:rPr>
        <w:t>PROCEDIMIENTOS QUE SE DECLARARON DESIERTOS</w:t>
      </w:r>
      <w:r>
        <w:rPr>
          <w:rFonts w:ascii="Arial" w:eastAsia="Times New Roman" w:hAnsi="Arial" w:cs="Arial"/>
          <w:color w:val="212529"/>
          <w:sz w:val="24"/>
          <w:szCs w:val="24"/>
          <w:lang w:val="es-ES_tradnl" w:eastAsia="es-MX"/>
        </w:rPr>
        <w:t>:</w:t>
      </w:r>
    </w:p>
    <w:tbl>
      <w:tblPr>
        <w:tblStyle w:val="Tablaconcuadrcula"/>
        <w:tblpPr w:leftFromText="141" w:rightFromText="141" w:vertAnchor="text" w:horzAnchor="margin" w:tblpY="116"/>
        <w:tblW w:w="0" w:type="auto"/>
        <w:tblLook w:val="04A0" w:firstRow="1" w:lastRow="0" w:firstColumn="1" w:lastColumn="0" w:noHBand="0" w:noVBand="1"/>
      </w:tblPr>
      <w:tblGrid>
        <w:gridCol w:w="2207"/>
        <w:gridCol w:w="2207"/>
        <w:gridCol w:w="2207"/>
      </w:tblGrid>
      <w:tr w:rsidR="00B54598" w:rsidRPr="00B54598" w:rsidTr="00B54598">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AÑO</w:t>
            </w:r>
          </w:p>
        </w:tc>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LICITACIÓN PÚBLICA</w:t>
            </w:r>
          </w:p>
        </w:tc>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INVITACIÓN RESTRINGIDA</w:t>
            </w:r>
          </w:p>
        </w:tc>
      </w:tr>
      <w:tr w:rsidR="00B54598" w:rsidRPr="00B54598" w:rsidTr="00B54598">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2019</w:t>
            </w:r>
          </w:p>
        </w:tc>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0</w:t>
            </w:r>
          </w:p>
        </w:tc>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1</w:t>
            </w:r>
          </w:p>
        </w:tc>
      </w:tr>
      <w:tr w:rsidR="00B54598" w:rsidRPr="00B54598" w:rsidTr="00B54598">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2020</w:t>
            </w:r>
          </w:p>
        </w:tc>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2</w:t>
            </w:r>
          </w:p>
        </w:tc>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0</w:t>
            </w:r>
          </w:p>
        </w:tc>
      </w:tr>
      <w:tr w:rsidR="00B54598" w:rsidRPr="00B54598" w:rsidTr="00B54598">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2021</w:t>
            </w:r>
          </w:p>
        </w:tc>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2</w:t>
            </w:r>
          </w:p>
        </w:tc>
        <w:tc>
          <w:tcPr>
            <w:tcW w:w="2207" w:type="dxa"/>
          </w:tcPr>
          <w:p w:rsidR="00B54598" w:rsidRPr="00B54598" w:rsidRDefault="00B54598" w:rsidP="00B54598">
            <w:pPr>
              <w:ind w:left="171"/>
              <w:jc w:val="center"/>
              <w:rPr>
                <w:rFonts w:ascii="Arial" w:hAnsi="Arial" w:cs="Arial"/>
                <w:color w:val="212529"/>
                <w:sz w:val="24"/>
                <w:szCs w:val="24"/>
                <w:lang w:eastAsia="es-MX"/>
              </w:rPr>
            </w:pPr>
            <w:r w:rsidRPr="00B54598">
              <w:rPr>
                <w:rFonts w:ascii="Arial" w:hAnsi="Arial" w:cs="Arial"/>
                <w:color w:val="212529"/>
                <w:sz w:val="24"/>
                <w:szCs w:val="24"/>
                <w:lang w:eastAsia="es-MX"/>
              </w:rPr>
              <w:t>3</w:t>
            </w:r>
          </w:p>
        </w:tc>
      </w:tr>
    </w:tbl>
    <w:p w:rsidR="00B54598" w:rsidRPr="00B54598" w:rsidRDefault="00B54598" w:rsidP="00B54598">
      <w:pPr>
        <w:jc w:val="center"/>
        <w:rPr>
          <w:rFonts w:ascii="Arial" w:hAnsi="Arial" w:cs="Arial"/>
          <w:color w:val="212529"/>
          <w:sz w:val="24"/>
          <w:szCs w:val="24"/>
          <w:lang w:eastAsia="es-MX"/>
        </w:rPr>
      </w:pPr>
    </w:p>
    <w:p w:rsidR="00B54598" w:rsidRDefault="00B54598" w:rsidP="00B54598">
      <w:pPr>
        <w:rPr>
          <w:rFonts w:ascii="Arial" w:hAnsi="Arial" w:cs="Arial"/>
          <w:color w:val="212529"/>
          <w:sz w:val="24"/>
          <w:szCs w:val="24"/>
          <w:lang w:eastAsia="es-MX"/>
        </w:rPr>
      </w:pPr>
    </w:p>
    <w:p w:rsidR="00B54598" w:rsidRDefault="00B54598" w:rsidP="00B54598">
      <w:pPr>
        <w:pStyle w:val="Prrafodelista"/>
        <w:spacing w:after="0" w:line="240" w:lineRule="auto"/>
        <w:ind w:left="1080"/>
        <w:rPr>
          <w:rFonts w:ascii="Arial" w:eastAsia="Times New Roman" w:hAnsi="Arial" w:cs="Arial"/>
          <w:color w:val="212529"/>
          <w:sz w:val="24"/>
          <w:szCs w:val="24"/>
          <w:lang w:val="es-ES_tradnl" w:eastAsia="es-MX"/>
        </w:rPr>
      </w:pPr>
    </w:p>
    <w:p w:rsidR="00B54598" w:rsidRDefault="00B54598" w:rsidP="00B54598">
      <w:pPr>
        <w:pStyle w:val="Prrafodelista"/>
        <w:spacing w:after="0" w:line="240" w:lineRule="auto"/>
        <w:ind w:left="1080"/>
        <w:rPr>
          <w:rFonts w:ascii="Arial" w:eastAsia="Times New Roman" w:hAnsi="Arial" w:cs="Arial"/>
          <w:color w:val="212529"/>
          <w:sz w:val="24"/>
          <w:szCs w:val="24"/>
          <w:lang w:val="es-ES_tradnl" w:eastAsia="es-MX"/>
        </w:rPr>
      </w:pPr>
    </w:p>
    <w:p w:rsidR="00B54598" w:rsidRDefault="00B54598" w:rsidP="00B54598">
      <w:pPr>
        <w:pStyle w:val="Prrafodelista"/>
        <w:spacing w:after="0" w:line="240" w:lineRule="auto"/>
        <w:ind w:left="1080"/>
        <w:rPr>
          <w:rFonts w:ascii="Arial" w:eastAsia="Times New Roman" w:hAnsi="Arial" w:cs="Arial"/>
          <w:color w:val="212529"/>
          <w:sz w:val="24"/>
          <w:szCs w:val="24"/>
          <w:lang w:val="es-ES_tradnl" w:eastAsia="es-MX"/>
        </w:rPr>
      </w:pPr>
    </w:p>
    <w:p w:rsidR="00B54598" w:rsidRDefault="00B54598" w:rsidP="00B54598">
      <w:pPr>
        <w:pStyle w:val="Prrafodelista"/>
        <w:spacing w:after="0" w:line="240" w:lineRule="auto"/>
        <w:ind w:left="1080"/>
        <w:rPr>
          <w:rFonts w:ascii="Arial" w:eastAsia="Times New Roman" w:hAnsi="Arial" w:cs="Arial"/>
          <w:color w:val="212529"/>
          <w:sz w:val="24"/>
          <w:szCs w:val="24"/>
          <w:lang w:val="es-ES_tradnl" w:eastAsia="es-MX"/>
        </w:rPr>
      </w:pPr>
    </w:p>
    <w:p w:rsidR="00B54598" w:rsidRPr="00B54598" w:rsidRDefault="00B54598" w:rsidP="00B54598">
      <w:pPr>
        <w:pStyle w:val="Prrafodelista"/>
        <w:spacing w:after="0" w:line="240" w:lineRule="auto"/>
        <w:ind w:left="1080" w:hanging="938"/>
        <w:rPr>
          <w:rFonts w:ascii="Arial" w:eastAsia="Times New Roman" w:hAnsi="Arial" w:cs="Arial"/>
          <w:color w:val="212529"/>
          <w:sz w:val="24"/>
          <w:szCs w:val="24"/>
          <w:lang w:val="es-ES_tradnl" w:eastAsia="es-MX"/>
        </w:rPr>
      </w:pPr>
      <w:r w:rsidRPr="00B54598">
        <w:rPr>
          <w:rFonts w:ascii="Arial" w:eastAsia="Times New Roman" w:hAnsi="Arial" w:cs="Arial"/>
          <w:color w:val="212529"/>
          <w:sz w:val="24"/>
          <w:szCs w:val="24"/>
          <w:lang w:val="es-ES_tradnl" w:eastAsia="es-MX"/>
        </w:rPr>
        <w:t>PROCEDIMIENTO DE ADJUDICACIÓN DIRECTA</w:t>
      </w:r>
      <w:r>
        <w:rPr>
          <w:rFonts w:ascii="Arial" w:eastAsia="Times New Roman" w:hAnsi="Arial" w:cs="Arial"/>
          <w:color w:val="212529"/>
          <w:sz w:val="24"/>
          <w:szCs w:val="24"/>
          <w:lang w:val="es-ES_tradnl" w:eastAsia="es-MX"/>
        </w:rPr>
        <w:t>:</w:t>
      </w:r>
    </w:p>
    <w:p w:rsidR="00B54598" w:rsidRDefault="00B54598" w:rsidP="00B54598">
      <w:pPr>
        <w:rPr>
          <w:rFonts w:ascii="Arial" w:hAnsi="Arial" w:cs="Arial"/>
          <w:color w:val="212529"/>
          <w:sz w:val="24"/>
          <w:szCs w:val="24"/>
          <w:lang w:eastAsia="es-MX"/>
        </w:rPr>
      </w:pPr>
    </w:p>
    <w:tbl>
      <w:tblPr>
        <w:tblStyle w:val="Tablaconcuadrcula"/>
        <w:tblW w:w="0" w:type="auto"/>
        <w:tblInd w:w="-5" w:type="dxa"/>
        <w:tblLook w:val="04A0" w:firstRow="1" w:lastRow="0" w:firstColumn="1" w:lastColumn="0" w:noHBand="0" w:noVBand="1"/>
      </w:tblPr>
      <w:tblGrid>
        <w:gridCol w:w="1387"/>
        <w:gridCol w:w="1723"/>
        <w:gridCol w:w="1872"/>
        <w:gridCol w:w="2337"/>
      </w:tblGrid>
      <w:tr w:rsidR="00B54598" w:rsidRPr="00B54598" w:rsidTr="00B54598">
        <w:tc>
          <w:tcPr>
            <w:tcW w:w="138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AÑO</w:t>
            </w:r>
          </w:p>
        </w:tc>
        <w:tc>
          <w:tcPr>
            <w:tcW w:w="1723"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CONTRATOS PEDIDOS</w:t>
            </w:r>
          </w:p>
        </w:tc>
        <w:tc>
          <w:tcPr>
            <w:tcW w:w="1872"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CONTRATOS TIPOS</w:t>
            </w:r>
          </w:p>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O</w:t>
            </w:r>
          </w:p>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CLAUSULADO</w:t>
            </w:r>
          </w:p>
        </w:tc>
        <w:tc>
          <w:tcPr>
            <w:tcW w:w="233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ADJUDICACIÓNES DIRECTAS</w:t>
            </w:r>
          </w:p>
        </w:tc>
      </w:tr>
      <w:tr w:rsidR="00B54598" w:rsidRPr="00B54598" w:rsidTr="00B54598">
        <w:tc>
          <w:tcPr>
            <w:tcW w:w="138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2019</w:t>
            </w:r>
          </w:p>
        </w:tc>
        <w:tc>
          <w:tcPr>
            <w:tcW w:w="1723"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N/A</w:t>
            </w:r>
          </w:p>
        </w:tc>
        <w:tc>
          <w:tcPr>
            <w:tcW w:w="1872"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1</w:t>
            </w:r>
          </w:p>
        </w:tc>
        <w:tc>
          <w:tcPr>
            <w:tcW w:w="233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55</w:t>
            </w:r>
          </w:p>
        </w:tc>
      </w:tr>
      <w:tr w:rsidR="00B54598" w:rsidRPr="00B54598" w:rsidTr="00B54598">
        <w:tc>
          <w:tcPr>
            <w:tcW w:w="138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2020</w:t>
            </w:r>
          </w:p>
        </w:tc>
        <w:tc>
          <w:tcPr>
            <w:tcW w:w="1723"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N/A</w:t>
            </w:r>
          </w:p>
        </w:tc>
        <w:tc>
          <w:tcPr>
            <w:tcW w:w="1872"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0</w:t>
            </w:r>
          </w:p>
        </w:tc>
        <w:tc>
          <w:tcPr>
            <w:tcW w:w="233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31</w:t>
            </w:r>
          </w:p>
        </w:tc>
      </w:tr>
      <w:tr w:rsidR="00B54598" w:rsidRPr="00B54598" w:rsidTr="00B54598">
        <w:tc>
          <w:tcPr>
            <w:tcW w:w="138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2021</w:t>
            </w:r>
          </w:p>
        </w:tc>
        <w:tc>
          <w:tcPr>
            <w:tcW w:w="1723"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N/A</w:t>
            </w:r>
          </w:p>
        </w:tc>
        <w:tc>
          <w:tcPr>
            <w:tcW w:w="1872"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0</w:t>
            </w:r>
          </w:p>
        </w:tc>
        <w:tc>
          <w:tcPr>
            <w:tcW w:w="2337" w:type="dxa"/>
          </w:tcPr>
          <w:p w:rsidR="00B54598" w:rsidRPr="00B54598" w:rsidRDefault="00B54598" w:rsidP="002E6968">
            <w:pPr>
              <w:jc w:val="center"/>
              <w:rPr>
                <w:rFonts w:ascii="Arial" w:hAnsi="Arial" w:cs="Arial"/>
                <w:color w:val="212529"/>
                <w:sz w:val="24"/>
                <w:szCs w:val="24"/>
                <w:lang w:eastAsia="es-MX"/>
              </w:rPr>
            </w:pPr>
            <w:r w:rsidRPr="00B54598">
              <w:rPr>
                <w:rFonts w:ascii="Arial" w:hAnsi="Arial" w:cs="Arial"/>
                <w:color w:val="212529"/>
                <w:sz w:val="24"/>
                <w:szCs w:val="24"/>
                <w:lang w:eastAsia="es-MX"/>
              </w:rPr>
              <w:t>37</w:t>
            </w:r>
          </w:p>
        </w:tc>
      </w:tr>
    </w:tbl>
    <w:p w:rsidR="00B54598" w:rsidRPr="00B54598" w:rsidRDefault="00B54598" w:rsidP="00B54598">
      <w:pPr>
        <w:pStyle w:val="Prrafodelista"/>
        <w:spacing w:after="0" w:line="240" w:lineRule="auto"/>
        <w:ind w:left="-14"/>
        <w:jc w:val="both"/>
        <w:rPr>
          <w:rFonts w:ascii="Arial" w:eastAsia="Times New Roman" w:hAnsi="Arial" w:cs="Arial"/>
          <w:color w:val="212529"/>
          <w:sz w:val="24"/>
          <w:szCs w:val="24"/>
          <w:lang w:val="es-ES_tradnl" w:eastAsia="es-MX"/>
        </w:rPr>
      </w:pPr>
    </w:p>
    <w:p w:rsidR="00381F60" w:rsidRDefault="00381F60" w:rsidP="00B54598">
      <w:pPr>
        <w:rPr>
          <w:rFonts w:ascii="Arial" w:hAnsi="Arial" w:cs="Arial"/>
          <w:color w:val="212529"/>
          <w:sz w:val="24"/>
          <w:szCs w:val="24"/>
          <w:lang w:eastAsia="es-MX"/>
        </w:rPr>
      </w:pPr>
    </w:p>
    <w:p w:rsidR="00381F60" w:rsidRDefault="00381F60" w:rsidP="00B54598">
      <w:pPr>
        <w:rPr>
          <w:rFonts w:ascii="Arial" w:hAnsi="Arial" w:cs="Arial"/>
          <w:color w:val="212529"/>
          <w:sz w:val="24"/>
          <w:szCs w:val="24"/>
          <w:lang w:eastAsia="es-MX"/>
        </w:rPr>
      </w:pPr>
    </w:p>
    <w:p w:rsidR="00381F60" w:rsidRDefault="00381F60" w:rsidP="00B54598">
      <w:pPr>
        <w:rPr>
          <w:rFonts w:ascii="Arial" w:hAnsi="Arial" w:cs="Arial"/>
          <w:color w:val="212529"/>
          <w:sz w:val="24"/>
          <w:szCs w:val="24"/>
          <w:lang w:eastAsia="es-MX"/>
        </w:rPr>
      </w:pPr>
    </w:p>
    <w:p w:rsidR="00B54598" w:rsidRPr="00B54598" w:rsidRDefault="00B54598" w:rsidP="00B54598">
      <w:pPr>
        <w:rPr>
          <w:rFonts w:ascii="Arial" w:hAnsi="Arial" w:cs="Arial"/>
          <w:color w:val="212529"/>
          <w:sz w:val="24"/>
          <w:szCs w:val="24"/>
          <w:lang w:eastAsia="es-MX"/>
        </w:rPr>
      </w:pPr>
      <w:r w:rsidRPr="00B54598">
        <w:rPr>
          <w:rFonts w:ascii="Arial" w:hAnsi="Arial" w:cs="Arial"/>
          <w:color w:val="212529"/>
          <w:sz w:val="24"/>
          <w:szCs w:val="24"/>
          <w:lang w:eastAsia="es-MX"/>
        </w:rPr>
        <w:t>La información sobre los contratos celebrados por esta Auditoría Superior de la Ciudad de México, en los ejercicios 2019-2020, se encuentra publicada en  la página Web (</w:t>
      </w:r>
      <w:hyperlink r:id="rId16" w:history="1">
        <w:r w:rsidRPr="00B54598">
          <w:rPr>
            <w:rFonts w:ascii="Arial" w:hAnsi="Arial" w:cs="Arial"/>
            <w:color w:val="212529"/>
            <w:sz w:val="24"/>
            <w:szCs w:val="24"/>
            <w:lang w:eastAsia="es-MX"/>
          </w:rPr>
          <w:t>www.ascm.gob.mx</w:t>
        </w:r>
      </w:hyperlink>
      <w:r w:rsidRPr="00B54598">
        <w:rPr>
          <w:rFonts w:ascii="Arial" w:hAnsi="Arial" w:cs="Arial"/>
          <w:color w:val="212529"/>
          <w:sz w:val="24"/>
          <w:szCs w:val="24"/>
          <w:lang w:eastAsia="es-MX"/>
        </w:rPr>
        <w:t>) en el apartado de Transparencia, específicamente en el Artículo 121, fracción XXX, DE</w:t>
      </w:r>
      <w:r>
        <w:rPr>
          <w:rFonts w:ascii="Arial" w:hAnsi="Arial" w:cs="Arial"/>
          <w:color w:val="212529"/>
          <w:sz w:val="24"/>
          <w:szCs w:val="24"/>
          <w:lang w:eastAsia="es-MX"/>
        </w:rPr>
        <w:t>S</w:t>
      </w:r>
      <w:r w:rsidRPr="00B54598">
        <w:rPr>
          <w:rFonts w:ascii="Arial" w:hAnsi="Arial" w:cs="Arial"/>
          <w:color w:val="212529"/>
          <w:sz w:val="24"/>
          <w:szCs w:val="24"/>
          <w:lang w:eastAsia="es-MX"/>
        </w:rPr>
        <w:t xml:space="preserve">CARGA INFORMACIÓN EJERCICIOS ANTERIORES, período 2016-2020 en </w:t>
      </w:r>
      <w:r>
        <w:rPr>
          <w:rFonts w:ascii="Arial" w:hAnsi="Arial" w:cs="Arial"/>
          <w:color w:val="212529"/>
          <w:sz w:val="24"/>
          <w:szCs w:val="24"/>
          <w:lang w:eastAsia="es-MX"/>
        </w:rPr>
        <w:t>el siguiente link</w:t>
      </w:r>
      <w:r w:rsidRPr="00B54598">
        <w:rPr>
          <w:rFonts w:ascii="Arial" w:hAnsi="Arial" w:cs="Arial"/>
          <w:color w:val="212529"/>
          <w:sz w:val="24"/>
          <w:szCs w:val="24"/>
          <w:lang w:eastAsia="es-MX"/>
        </w:rPr>
        <w:t>:</w:t>
      </w:r>
    </w:p>
    <w:p w:rsidR="00B54598" w:rsidRPr="00C0114B" w:rsidRDefault="00CE10C2" w:rsidP="00B54598">
      <w:pPr>
        <w:pStyle w:val="Prrafodelista"/>
        <w:spacing w:after="0" w:line="240" w:lineRule="auto"/>
        <w:ind w:left="-14"/>
        <w:jc w:val="both"/>
        <w:rPr>
          <w:rFonts w:ascii="Arial" w:eastAsia="Times New Roman" w:hAnsi="Arial" w:cs="Arial"/>
          <w:color w:val="212529"/>
          <w:sz w:val="24"/>
          <w:szCs w:val="24"/>
          <w:lang w:val="en-US" w:eastAsia="es-MX"/>
        </w:rPr>
      </w:pPr>
      <w:hyperlink r:id="rId17" w:history="1">
        <w:r w:rsidR="00B54598" w:rsidRPr="00C0114B">
          <w:rPr>
            <w:rFonts w:ascii="Arial" w:eastAsia="Times New Roman" w:hAnsi="Arial" w:cs="Arial"/>
            <w:color w:val="212529"/>
            <w:sz w:val="24"/>
            <w:szCs w:val="24"/>
            <w:lang w:val="en-US" w:eastAsia="es-MX"/>
          </w:rPr>
          <w:t>http://www.ascm.gob.mx/Transparencia/Pdfs/Art121/XXX/Art121F30</w:t>
        </w:r>
      </w:hyperlink>
      <w:r w:rsidR="00B54598" w:rsidRPr="00C0114B">
        <w:rPr>
          <w:rFonts w:ascii="Arial" w:eastAsia="Times New Roman" w:hAnsi="Arial" w:cs="Arial"/>
          <w:color w:val="212529"/>
          <w:sz w:val="24"/>
          <w:szCs w:val="24"/>
          <w:lang w:val="en-US" w:eastAsia="es-MX"/>
        </w:rPr>
        <w:t xml:space="preserve"> 16-20xls</w:t>
      </w:r>
    </w:p>
    <w:p w:rsidR="00CE07AB" w:rsidRPr="00C0114B" w:rsidRDefault="00CE07AB" w:rsidP="00B54598">
      <w:pPr>
        <w:pStyle w:val="Prrafodelista"/>
        <w:spacing w:after="0" w:line="240" w:lineRule="auto"/>
        <w:ind w:left="-14"/>
        <w:jc w:val="both"/>
        <w:rPr>
          <w:rFonts w:ascii="Arial" w:eastAsia="Times New Roman" w:hAnsi="Arial" w:cs="Arial"/>
          <w:color w:val="212529"/>
          <w:sz w:val="24"/>
          <w:szCs w:val="24"/>
          <w:lang w:val="en-US" w:eastAsia="es-MX"/>
        </w:rPr>
      </w:pPr>
    </w:p>
    <w:p w:rsidR="00CE07AB" w:rsidRPr="00CE07AB" w:rsidRDefault="00CE07AB" w:rsidP="00CE07AB">
      <w:pPr>
        <w:rPr>
          <w:rFonts w:ascii="Arial" w:hAnsi="Arial" w:cs="Arial"/>
          <w:b/>
          <w:color w:val="212529"/>
          <w:sz w:val="24"/>
          <w:szCs w:val="24"/>
          <w:lang w:eastAsia="es-MX"/>
        </w:rPr>
      </w:pPr>
      <w:r w:rsidRPr="00CE07AB">
        <w:rPr>
          <w:rFonts w:ascii="Arial" w:hAnsi="Arial" w:cs="Arial"/>
          <w:b/>
          <w:color w:val="212529"/>
          <w:sz w:val="24"/>
          <w:szCs w:val="24"/>
          <w:lang w:eastAsia="es-MX"/>
        </w:rPr>
        <w:t>Pago de indemnizaciones</w:t>
      </w:r>
    </w:p>
    <w:p w:rsidR="00CE07AB" w:rsidRPr="00CE07AB" w:rsidRDefault="00CE07AB" w:rsidP="00CE07AB">
      <w:pPr>
        <w:rPr>
          <w:rFonts w:ascii="Arial" w:hAnsi="Arial" w:cs="Arial"/>
          <w:color w:val="212529"/>
          <w:sz w:val="24"/>
          <w:szCs w:val="24"/>
          <w:lang w:eastAsia="es-MX"/>
        </w:rPr>
      </w:pPr>
    </w:p>
    <w:p w:rsidR="00CE07AB" w:rsidRPr="00CE07AB" w:rsidRDefault="00CE07AB" w:rsidP="00CE07AB">
      <w:pPr>
        <w:rPr>
          <w:rFonts w:ascii="Arial" w:hAnsi="Arial" w:cs="Arial"/>
          <w:color w:val="212529"/>
          <w:sz w:val="24"/>
          <w:szCs w:val="24"/>
          <w:lang w:eastAsia="es-MX"/>
        </w:rPr>
      </w:pPr>
      <w:r w:rsidRPr="00CE07AB">
        <w:rPr>
          <w:rFonts w:ascii="Arial" w:hAnsi="Arial" w:cs="Arial"/>
          <w:color w:val="212529"/>
          <w:sz w:val="24"/>
          <w:szCs w:val="24"/>
          <w:lang w:eastAsia="es-MX"/>
        </w:rPr>
        <w:t>Ateniendo a los registros presupuestales y contables de esta Dirección, el pago de indemnizaciones en el ejercicio 2021, se realizó atendiendo al puesto del personal que causó baja.</w:t>
      </w:r>
    </w:p>
    <w:p w:rsidR="00CE07AB" w:rsidRPr="00CE07AB" w:rsidRDefault="00CE07AB" w:rsidP="00CE07AB">
      <w:pPr>
        <w:rPr>
          <w:rFonts w:ascii="Arial" w:hAnsi="Arial" w:cs="Arial"/>
          <w:color w:val="212529"/>
          <w:sz w:val="24"/>
          <w:szCs w:val="24"/>
          <w:lang w:eastAsia="es-MX"/>
        </w:rPr>
      </w:pPr>
      <w:r w:rsidRPr="00CE07AB">
        <w:rPr>
          <w:rFonts w:ascii="Arial" w:hAnsi="Arial" w:cs="Arial"/>
          <w:color w:val="212529"/>
          <w:sz w:val="24"/>
          <w:szCs w:val="24"/>
          <w:lang w:eastAsia="es-MX"/>
        </w:rPr>
        <w:t>De acuerdo a lo anterior, se tuvo un total de 14 pagos de indemnizaciones con un monto total que asciende a la cantidad total de $13,275,428.01 (Trece millones doscientos setenta y cinco mil cuatrocientos veinte ocho pesos 01/100 M.N.)</w:t>
      </w:r>
    </w:p>
    <w:p w:rsidR="00CE07AB" w:rsidRPr="00CE07AB" w:rsidRDefault="00CE07AB" w:rsidP="00CE07AB">
      <w:pPr>
        <w:rPr>
          <w:rFonts w:ascii="Arial" w:hAnsi="Arial" w:cs="Arial"/>
          <w:color w:val="212529"/>
          <w:sz w:val="24"/>
          <w:szCs w:val="24"/>
          <w:lang w:eastAsia="es-MX"/>
        </w:rPr>
      </w:pPr>
    </w:p>
    <w:p w:rsidR="00CE07AB" w:rsidRPr="00CE07AB" w:rsidRDefault="00CE07AB" w:rsidP="00CE07AB">
      <w:pPr>
        <w:rPr>
          <w:rFonts w:ascii="Arial" w:hAnsi="Arial" w:cs="Arial"/>
          <w:b/>
          <w:color w:val="212529"/>
          <w:sz w:val="24"/>
          <w:szCs w:val="24"/>
          <w:lang w:eastAsia="es-MX"/>
        </w:rPr>
      </w:pPr>
      <w:r w:rsidRPr="00CE07AB">
        <w:rPr>
          <w:rFonts w:ascii="Arial" w:hAnsi="Arial" w:cs="Arial"/>
          <w:b/>
          <w:color w:val="212529"/>
          <w:sz w:val="24"/>
          <w:szCs w:val="24"/>
          <w:lang w:eastAsia="es-MX"/>
        </w:rPr>
        <w:t>Gastos por concepto de Comunicación Social</w:t>
      </w:r>
    </w:p>
    <w:p w:rsidR="00CE07AB" w:rsidRPr="00CE07AB" w:rsidRDefault="00CE07AB" w:rsidP="00CE07AB">
      <w:pPr>
        <w:rPr>
          <w:rFonts w:ascii="Arial" w:hAnsi="Arial" w:cs="Arial"/>
          <w:color w:val="212529"/>
          <w:sz w:val="24"/>
          <w:szCs w:val="24"/>
          <w:lang w:eastAsia="es-MX"/>
        </w:rPr>
      </w:pPr>
    </w:p>
    <w:p w:rsidR="00CE07AB" w:rsidRPr="00CE07AB" w:rsidRDefault="00CE07AB" w:rsidP="00CE07AB">
      <w:pPr>
        <w:rPr>
          <w:rFonts w:ascii="Arial" w:hAnsi="Arial" w:cs="Arial"/>
          <w:color w:val="212529"/>
          <w:sz w:val="24"/>
          <w:szCs w:val="24"/>
          <w:lang w:eastAsia="es-MX"/>
        </w:rPr>
      </w:pPr>
      <w:r w:rsidRPr="00CE07AB">
        <w:rPr>
          <w:rFonts w:ascii="Arial" w:hAnsi="Arial" w:cs="Arial"/>
          <w:color w:val="212529"/>
          <w:sz w:val="24"/>
          <w:szCs w:val="24"/>
          <w:lang w:eastAsia="es-MX"/>
        </w:rPr>
        <w:t>Esta Entidad de Fiscalización no contempla en su presupuesto recursos destinados al Concepto 3600 Servicios de Comunicación Social y Publicidad Oficial.</w:t>
      </w:r>
    </w:p>
    <w:p w:rsidR="00CE07AB" w:rsidRPr="00CE07AB" w:rsidRDefault="00CE07AB" w:rsidP="00CE07AB">
      <w:pPr>
        <w:rPr>
          <w:rFonts w:ascii="Arial" w:hAnsi="Arial" w:cs="Arial"/>
          <w:color w:val="212529"/>
          <w:sz w:val="24"/>
          <w:szCs w:val="24"/>
          <w:lang w:eastAsia="es-MX"/>
        </w:rPr>
      </w:pPr>
    </w:p>
    <w:p w:rsidR="00CE07AB" w:rsidRPr="00CE07AB" w:rsidRDefault="00CE07AB" w:rsidP="00CE07AB">
      <w:pPr>
        <w:rPr>
          <w:rFonts w:ascii="Arial" w:hAnsi="Arial" w:cs="Arial"/>
          <w:color w:val="212529"/>
          <w:sz w:val="24"/>
          <w:szCs w:val="24"/>
          <w:lang w:eastAsia="es-MX"/>
        </w:rPr>
      </w:pPr>
      <w:r w:rsidRPr="00CE07AB">
        <w:rPr>
          <w:rFonts w:ascii="Arial" w:hAnsi="Arial" w:cs="Arial"/>
          <w:color w:val="212529"/>
          <w:sz w:val="24"/>
          <w:szCs w:val="24"/>
          <w:lang w:eastAsia="es-MX"/>
        </w:rPr>
        <w:t>Por tanto, no realiza erogación alguna por el concepto señalado.</w:t>
      </w:r>
    </w:p>
    <w:p w:rsidR="00CE07AB" w:rsidRPr="00CE07AB" w:rsidRDefault="00CE07AB" w:rsidP="00CE07AB">
      <w:pPr>
        <w:ind w:left="360"/>
        <w:rPr>
          <w:rFonts w:ascii="Arial" w:hAnsi="Arial" w:cs="Arial"/>
          <w:color w:val="212529"/>
          <w:sz w:val="24"/>
          <w:szCs w:val="24"/>
          <w:lang w:eastAsia="es-MX"/>
        </w:rPr>
      </w:pPr>
    </w:p>
    <w:p w:rsidR="00CE07AB" w:rsidRPr="00B54598" w:rsidRDefault="00CE07AB" w:rsidP="00B54598">
      <w:pPr>
        <w:pStyle w:val="Prrafodelista"/>
        <w:spacing w:after="0" w:line="240" w:lineRule="auto"/>
        <w:ind w:left="-14"/>
        <w:jc w:val="both"/>
        <w:rPr>
          <w:rFonts w:ascii="Arial" w:eastAsia="Times New Roman" w:hAnsi="Arial" w:cs="Arial"/>
          <w:color w:val="212529"/>
          <w:sz w:val="24"/>
          <w:szCs w:val="24"/>
          <w:lang w:val="es-ES_tradnl" w:eastAsia="es-MX"/>
        </w:rPr>
      </w:pPr>
    </w:p>
    <w:p w:rsidR="00B02F4B" w:rsidRDefault="00B02F4B" w:rsidP="00B02F4B">
      <w:pPr>
        <w:rPr>
          <w:rFonts w:ascii="Arial" w:hAnsi="Arial" w:cs="Arial"/>
          <w:color w:val="212529"/>
          <w:sz w:val="24"/>
          <w:szCs w:val="24"/>
          <w:lang w:eastAsia="es-MX"/>
        </w:rPr>
      </w:pPr>
    </w:p>
    <w:p w:rsidR="00B02F4B" w:rsidRPr="00B54598" w:rsidRDefault="00B02F4B" w:rsidP="00613688">
      <w:pPr>
        <w:pStyle w:val="Puesto1"/>
        <w:spacing w:before="100" w:beforeAutospacing="1" w:after="100" w:afterAutospacing="1"/>
        <w:ind w:right="-91"/>
        <w:rPr>
          <w:rFonts w:ascii="Arial" w:hAnsi="Arial" w:cs="Arial"/>
          <w:b w:val="0"/>
          <w:color w:val="212529"/>
          <w:kern w:val="0"/>
          <w:sz w:val="24"/>
          <w:szCs w:val="24"/>
          <w:lang w:eastAsia="es-MX"/>
        </w:rPr>
      </w:pPr>
    </w:p>
    <w:p w:rsidR="00613688" w:rsidRPr="00B54598" w:rsidRDefault="00613688" w:rsidP="00613688">
      <w:pPr>
        <w:pStyle w:val="Puesto1"/>
        <w:spacing w:before="100" w:beforeAutospacing="1" w:after="100" w:afterAutospacing="1"/>
        <w:ind w:right="-91"/>
        <w:rPr>
          <w:rFonts w:ascii="Arial" w:hAnsi="Arial" w:cs="Arial"/>
          <w:b w:val="0"/>
          <w:color w:val="212529"/>
          <w:kern w:val="0"/>
          <w:sz w:val="24"/>
          <w:szCs w:val="24"/>
          <w:lang w:eastAsia="es-MX"/>
        </w:rPr>
      </w:pPr>
    </w:p>
    <w:p w:rsidR="001F337B" w:rsidRPr="00B54598" w:rsidRDefault="001F337B" w:rsidP="00613688">
      <w:pPr>
        <w:pStyle w:val="Puesto1"/>
        <w:spacing w:before="100" w:beforeAutospacing="1" w:after="100" w:afterAutospacing="1"/>
        <w:ind w:right="-91"/>
        <w:rPr>
          <w:rFonts w:ascii="Arial" w:hAnsi="Arial" w:cs="Arial"/>
          <w:b w:val="0"/>
          <w:color w:val="212529"/>
          <w:kern w:val="0"/>
          <w:sz w:val="24"/>
          <w:szCs w:val="24"/>
          <w:lang w:eastAsia="es-MX"/>
        </w:rPr>
      </w:pPr>
    </w:p>
    <w:sectPr w:rsidR="001F337B" w:rsidRPr="00B54598" w:rsidSect="00780C26">
      <w:footerReference w:type="default" r:id="rId18"/>
      <w:pgSz w:w="12240" w:h="15840"/>
      <w:pgMar w:top="993"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C2" w:rsidRDefault="00CE10C2" w:rsidP="00613688">
      <w:r>
        <w:separator/>
      </w:r>
    </w:p>
  </w:endnote>
  <w:endnote w:type="continuationSeparator" w:id="0">
    <w:p w:rsidR="00CE10C2" w:rsidRDefault="00CE10C2" w:rsidP="0061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v (W1)">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516444"/>
      <w:docPartObj>
        <w:docPartGallery w:val="Page Numbers (Bottom of Page)"/>
        <w:docPartUnique/>
      </w:docPartObj>
    </w:sdtPr>
    <w:sdtEndPr/>
    <w:sdtContent>
      <w:sdt>
        <w:sdtPr>
          <w:id w:val="-1769616900"/>
          <w:docPartObj>
            <w:docPartGallery w:val="Page Numbers (Top of Page)"/>
            <w:docPartUnique/>
          </w:docPartObj>
        </w:sdtPr>
        <w:sdtEndPr/>
        <w:sdtContent>
          <w:p w:rsidR="00F47C96" w:rsidRDefault="00571F3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29B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29B3">
              <w:rPr>
                <w:b/>
                <w:bCs/>
                <w:noProof/>
              </w:rPr>
              <w:t>7</w:t>
            </w:r>
            <w:r>
              <w:rPr>
                <w:b/>
                <w:bCs/>
                <w:sz w:val="24"/>
                <w:szCs w:val="24"/>
              </w:rPr>
              <w:fldChar w:fldCharType="end"/>
            </w:r>
          </w:p>
        </w:sdtContent>
      </w:sdt>
    </w:sdtContent>
  </w:sdt>
  <w:p w:rsidR="00F47C96" w:rsidRDefault="00CE10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C2" w:rsidRDefault="00CE10C2" w:rsidP="00613688">
      <w:r>
        <w:separator/>
      </w:r>
    </w:p>
  </w:footnote>
  <w:footnote w:type="continuationSeparator" w:id="0">
    <w:p w:rsidR="00CE10C2" w:rsidRDefault="00CE10C2" w:rsidP="00613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E1612"/>
    <w:multiLevelType w:val="hybridMultilevel"/>
    <w:tmpl w:val="DC24D5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9A1B37"/>
    <w:multiLevelType w:val="hybridMultilevel"/>
    <w:tmpl w:val="73BA46DE"/>
    <w:lvl w:ilvl="0" w:tplc="4816E6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D0B3D7B"/>
    <w:multiLevelType w:val="hybridMultilevel"/>
    <w:tmpl w:val="C4905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BC06950"/>
    <w:multiLevelType w:val="hybridMultilevel"/>
    <w:tmpl w:val="7A9C2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80D4A51"/>
    <w:multiLevelType w:val="hybridMultilevel"/>
    <w:tmpl w:val="9D5E8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88"/>
    <w:rsid w:val="001F337B"/>
    <w:rsid w:val="00381F60"/>
    <w:rsid w:val="004F29B3"/>
    <w:rsid w:val="00571F35"/>
    <w:rsid w:val="005C3F6C"/>
    <w:rsid w:val="00613688"/>
    <w:rsid w:val="00860822"/>
    <w:rsid w:val="008E711A"/>
    <w:rsid w:val="00A0222F"/>
    <w:rsid w:val="00B02F4B"/>
    <w:rsid w:val="00B54598"/>
    <w:rsid w:val="00C0114B"/>
    <w:rsid w:val="00C978CD"/>
    <w:rsid w:val="00CE07AB"/>
    <w:rsid w:val="00CE10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90475-BEFB-4380-82FB-9C23078D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688"/>
    <w:pPr>
      <w:spacing w:after="0" w:line="240" w:lineRule="auto"/>
      <w:jc w:val="both"/>
    </w:pPr>
    <w:rPr>
      <w:rFonts w:ascii="Antique Olv (W1)" w:eastAsia="Times New Roman" w:hAnsi="Antique Olv (W1)"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rsid w:val="00613688"/>
    <w:pPr>
      <w:spacing w:after="960"/>
    </w:pPr>
    <w:rPr>
      <w:b/>
      <w:kern w:val="22"/>
    </w:rPr>
  </w:style>
  <w:style w:type="character" w:styleId="Hipervnculo">
    <w:name w:val="Hyperlink"/>
    <w:basedOn w:val="Fuentedeprrafopredeter"/>
    <w:uiPriority w:val="99"/>
    <w:unhideWhenUsed/>
    <w:rsid w:val="00613688"/>
    <w:rPr>
      <w:color w:val="0563C1" w:themeColor="hyperlink"/>
      <w:u w:val="single"/>
    </w:rPr>
  </w:style>
  <w:style w:type="paragraph" w:styleId="Encabezado">
    <w:name w:val="header"/>
    <w:basedOn w:val="Normal"/>
    <w:link w:val="EncabezadoCar"/>
    <w:uiPriority w:val="99"/>
    <w:unhideWhenUsed/>
    <w:rsid w:val="00613688"/>
    <w:pPr>
      <w:tabs>
        <w:tab w:val="center" w:pos="4419"/>
        <w:tab w:val="right" w:pos="8838"/>
      </w:tabs>
    </w:pPr>
  </w:style>
  <w:style w:type="character" w:customStyle="1" w:styleId="EncabezadoCar">
    <w:name w:val="Encabezado Car"/>
    <w:basedOn w:val="Fuentedeprrafopredeter"/>
    <w:link w:val="Encabezado"/>
    <w:uiPriority w:val="99"/>
    <w:rsid w:val="00613688"/>
    <w:rPr>
      <w:rFonts w:ascii="Antique Olv (W1)" w:eastAsia="Times New Roman" w:hAnsi="Antique Olv (W1)" w:cs="Times New Roman"/>
      <w:szCs w:val="20"/>
      <w:lang w:val="es-ES_tradnl" w:eastAsia="es-ES"/>
    </w:rPr>
  </w:style>
  <w:style w:type="paragraph" w:styleId="Piedepgina">
    <w:name w:val="footer"/>
    <w:basedOn w:val="Normal"/>
    <w:link w:val="PiedepginaCar"/>
    <w:uiPriority w:val="99"/>
    <w:unhideWhenUsed/>
    <w:rsid w:val="00613688"/>
    <w:pPr>
      <w:tabs>
        <w:tab w:val="center" w:pos="4419"/>
        <w:tab w:val="right" w:pos="8838"/>
      </w:tabs>
    </w:pPr>
  </w:style>
  <w:style w:type="character" w:customStyle="1" w:styleId="PiedepginaCar">
    <w:name w:val="Pie de página Car"/>
    <w:basedOn w:val="Fuentedeprrafopredeter"/>
    <w:link w:val="Piedepgina"/>
    <w:uiPriority w:val="99"/>
    <w:rsid w:val="00613688"/>
    <w:rPr>
      <w:rFonts w:ascii="Antique Olv (W1)" w:eastAsia="Times New Roman" w:hAnsi="Antique Olv (W1)" w:cs="Times New Roman"/>
      <w:szCs w:val="20"/>
      <w:lang w:val="es-ES_tradnl" w:eastAsia="es-ES"/>
    </w:rPr>
  </w:style>
  <w:style w:type="paragraph" w:styleId="Prrafodelista">
    <w:name w:val="List Paragraph"/>
    <w:basedOn w:val="Normal"/>
    <w:uiPriority w:val="34"/>
    <w:qFormat/>
    <w:rsid w:val="00B54598"/>
    <w:pPr>
      <w:spacing w:after="160" w:line="259" w:lineRule="auto"/>
      <w:ind w:left="720"/>
      <w:contextualSpacing/>
      <w:jc w:val="left"/>
    </w:pPr>
    <w:rPr>
      <w:rFonts w:asciiTheme="minorHAnsi" w:eastAsiaTheme="minorHAnsi" w:hAnsiTheme="minorHAnsi" w:cstheme="minorBidi"/>
      <w:szCs w:val="22"/>
      <w:lang w:val="es-MX" w:eastAsia="en-US"/>
    </w:rPr>
  </w:style>
  <w:style w:type="table" w:styleId="Tablaconcuadrcula">
    <w:name w:val="Table Grid"/>
    <w:basedOn w:val="Tablanormal"/>
    <w:uiPriority w:val="39"/>
    <w:rsid w:val="00B54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m.gob.mx/Sitio/Transparencia.php" TargetMode="External"/><Relationship Id="rId13" Type="http://schemas.openxmlformats.org/officeDocument/2006/relationships/hyperlink" Target="http://www.ascm.gob.mx/Sitio/Transparencia.ph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cm.gob.mx/Sitio/Transparencia.php" TargetMode="External"/><Relationship Id="rId12" Type="http://schemas.openxmlformats.org/officeDocument/2006/relationships/hyperlink" Target="mailto:reclutamiento@ascm.gob.mx" TargetMode="External"/><Relationship Id="rId17" Type="http://schemas.openxmlformats.org/officeDocument/2006/relationships/hyperlink" Target="http://www.ascm.gob.mx/Transparencia/Pdfs/Art121/XXX/Art121F30" TargetMode="External"/><Relationship Id="rId2" Type="http://schemas.openxmlformats.org/officeDocument/2006/relationships/styles" Target="styles.xml"/><Relationship Id="rId16" Type="http://schemas.openxmlformats.org/officeDocument/2006/relationships/hyperlink" Target="http://www.ascm.gob.m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m.gob.mx/Sitio/Transparencia.php" TargetMode="External"/><Relationship Id="rId5" Type="http://schemas.openxmlformats.org/officeDocument/2006/relationships/footnotes" Target="footnotes.xml"/><Relationship Id="rId15" Type="http://schemas.openxmlformats.org/officeDocument/2006/relationships/hyperlink" Target="http://www.ascm.gob.mx/Transparencia/Pdfs/Art121/XXX/" TargetMode="External"/><Relationship Id="rId10" Type="http://schemas.openxmlformats.org/officeDocument/2006/relationships/hyperlink" Target="http://www.ascm.gob.mx/Sitio/Transparencia.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cm.gob.mx/Sitio/Transparencia.php" TargetMode="External"/><Relationship Id="rId14" Type="http://schemas.openxmlformats.org/officeDocument/2006/relationships/hyperlink" Target="http://www.ascm.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2225</Words>
  <Characters>12241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Ventolero Vega</dc:creator>
  <cp:keywords/>
  <dc:description/>
  <cp:lastModifiedBy>MOISES RODRIGUEZ VERGARA</cp:lastModifiedBy>
  <cp:revision>2</cp:revision>
  <dcterms:created xsi:type="dcterms:W3CDTF">2022-10-25T15:08:00Z</dcterms:created>
  <dcterms:modified xsi:type="dcterms:W3CDTF">2022-10-25T15:08:00Z</dcterms:modified>
</cp:coreProperties>
</file>